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BA" w:rsidRDefault="005818BA" w:rsidP="00736141">
      <w:pPr>
        <w:pStyle w:val="Nessunaspaziatura"/>
        <w:spacing w:line="360" w:lineRule="auto"/>
        <w:jc w:val="both"/>
        <w:rPr>
          <w:rStyle w:val="Enfasigrassetto"/>
          <w:rFonts w:ascii="Times New Roman" w:hAnsi="Times New Roman" w:cs="Times New Roman"/>
        </w:rPr>
      </w:pPr>
      <w:r>
        <w:rPr>
          <w:rStyle w:val="Enfasigrassetto"/>
          <w:rFonts w:ascii="Times New Roman" w:hAnsi="Times New Roman" w:cs="Times New Roman"/>
        </w:rPr>
        <w:t xml:space="preserve">LA CAUZIONE PROVVISORIA </w:t>
      </w:r>
    </w:p>
    <w:p w:rsidR="00027842" w:rsidRPr="009732C9" w:rsidRDefault="00027842" w:rsidP="00027842">
      <w:pPr>
        <w:shd w:val="clear" w:color="auto" w:fill="FFFFFF"/>
        <w:spacing w:after="0" w:line="480" w:lineRule="auto"/>
        <w:jc w:val="both"/>
        <w:rPr>
          <w:rFonts w:ascii="Times New Roman" w:eastAsia="Times New Roman" w:hAnsi="Times New Roman"/>
          <w:lang w:eastAsia="it-IT"/>
        </w:rPr>
      </w:pPr>
      <w:r>
        <w:rPr>
          <w:rStyle w:val="Enfasigrassetto"/>
          <w:rFonts w:ascii="Times New Roman" w:hAnsi="Times New Roman"/>
        </w:rPr>
        <w:t>a cura dell’</w:t>
      </w:r>
      <w:r w:rsidRPr="00027842">
        <w:rPr>
          <w:rFonts w:ascii="Times New Roman" w:eastAsia="Times New Roman" w:hAnsi="Times New Roman"/>
          <w:b/>
          <w:bCs/>
          <w:lang w:eastAsia="it-IT"/>
        </w:rPr>
        <w:t xml:space="preserve"> </w:t>
      </w:r>
      <w:r>
        <w:rPr>
          <w:rFonts w:ascii="Times New Roman" w:eastAsia="Times New Roman" w:hAnsi="Times New Roman"/>
          <w:b/>
          <w:bCs/>
          <w:lang w:eastAsia="it-IT"/>
        </w:rPr>
        <w:t>Avv. Francesco Mascia*</w:t>
      </w:r>
    </w:p>
    <w:p w:rsidR="0011547E" w:rsidRDefault="0011547E" w:rsidP="00736141">
      <w:pPr>
        <w:pStyle w:val="Nessunaspaziatura"/>
        <w:spacing w:line="360" w:lineRule="auto"/>
        <w:jc w:val="both"/>
        <w:rPr>
          <w:rStyle w:val="Enfasigrassetto"/>
          <w:rFonts w:ascii="Times New Roman" w:hAnsi="Times New Roman" w:cs="Times New Roman"/>
        </w:rPr>
      </w:pPr>
      <w:bookmarkStart w:id="0" w:name="_GoBack"/>
      <w:bookmarkEnd w:id="0"/>
    </w:p>
    <w:p w:rsidR="0011547E" w:rsidRPr="00047D15" w:rsidRDefault="00525890" w:rsidP="00736141">
      <w:pPr>
        <w:pStyle w:val="Nessunaspaziatura"/>
        <w:spacing w:line="360" w:lineRule="auto"/>
        <w:jc w:val="both"/>
        <w:rPr>
          <w:rStyle w:val="Enfasigrassetto"/>
          <w:rFonts w:ascii="Times New Roman" w:hAnsi="Times New Roman" w:cs="Times New Roman"/>
          <w:b w:val="0"/>
          <w:i/>
        </w:rPr>
      </w:pPr>
      <w:r w:rsidRPr="003830CE">
        <w:rPr>
          <w:rStyle w:val="Enfasigrassetto"/>
          <w:rFonts w:ascii="Times New Roman" w:hAnsi="Times New Roman" w:cs="Times New Roman"/>
          <w:b w:val="0"/>
          <w:i/>
        </w:rPr>
        <w:t xml:space="preserve">L’art. 75 del </w:t>
      </w:r>
      <w:proofErr w:type="spellStart"/>
      <w:r w:rsidRPr="003830CE">
        <w:rPr>
          <w:rStyle w:val="Enfasigrassetto"/>
          <w:rFonts w:ascii="Times New Roman" w:hAnsi="Times New Roman" w:cs="Times New Roman"/>
          <w:b w:val="0"/>
          <w:i/>
        </w:rPr>
        <w:t>D.Lgs.</w:t>
      </w:r>
      <w:proofErr w:type="spellEnd"/>
      <w:r w:rsidRPr="003830CE">
        <w:rPr>
          <w:rStyle w:val="Enfasigrassetto"/>
          <w:rFonts w:ascii="Times New Roman" w:hAnsi="Times New Roman" w:cs="Times New Roman"/>
          <w:b w:val="0"/>
          <w:i/>
        </w:rPr>
        <w:t xml:space="preserve"> 163/2006 prevede che tutti i partecipanti ad una gara per l’affidamento </w:t>
      </w:r>
      <w:r w:rsidR="00CF48C2" w:rsidRPr="003830CE">
        <w:rPr>
          <w:rStyle w:val="Enfasigrassetto"/>
          <w:rFonts w:ascii="Times New Roman" w:hAnsi="Times New Roman" w:cs="Times New Roman"/>
          <w:b w:val="0"/>
          <w:i/>
        </w:rPr>
        <w:t>di un pubblico appalto prestino a corredo dell’offerta</w:t>
      </w:r>
      <w:r w:rsidRPr="003830CE">
        <w:rPr>
          <w:rStyle w:val="Enfasigrassetto"/>
          <w:rFonts w:ascii="Times New Roman" w:hAnsi="Times New Roman" w:cs="Times New Roman"/>
          <w:b w:val="0"/>
          <w:i/>
        </w:rPr>
        <w:t xml:space="preserve"> una garanzia</w:t>
      </w:r>
      <w:r w:rsidR="00BB3002" w:rsidRPr="003830CE">
        <w:rPr>
          <w:rStyle w:val="Enfasigrassetto"/>
          <w:rFonts w:ascii="Times New Roman" w:hAnsi="Times New Roman" w:cs="Times New Roman"/>
          <w:b w:val="0"/>
          <w:i/>
        </w:rPr>
        <w:t>:</w:t>
      </w:r>
      <w:r w:rsidRPr="003830CE">
        <w:rPr>
          <w:rStyle w:val="Enfasigrassetto"/>
          <w:rFonts w:ascii="Times New Roman" w:hAnsi="Times New Roman" w:cs="Times New Roman"/>
          <w:b w:val="0"/>
          <w:i/>
        </w:rPr>
        <w:t xml:space="preserve"> la cd. cauzione provvisoria. </w:t>
      </w:r>
      <w:r w:rsidR="00CF48C2" w:rsidRPr="003830CE">
        <w:rPr>
          <w:rStyle w:val="Enfasigrassetto"/>
          <w:rFonts w:ascii="Times New Roman" w:hAnsi="Times New Roman" w:cs="Times New Roman"/>
          <w:b w:val="0"/>
          <w:i/>
        </w:rPr>
        <w:t>Quest’ultima</w:t>
      </w:r>
      <w:r w:rsidR="00CF48C2" w:rsidRPr="003830CE">
        <w:rPr>
          <w:rStyle w:val="Enfasigrassetto"/>
          <w:rFonts w:ascii="Times New Roman" w:hAnsi="Times New Roman" w:cs="Times New Roman"/>
          <w:i/>
        </w:rPr>
        <w:t xml:space="preserve"> c</w:t>
      </w:r>
      <w:r w:rsidR="0011547E" w:rsidRPr="003830CE">
        <w:rPr>
          <w:rFonts w:ascii="Times New Roman" w:eastAsia="Times New Roman" w:hAnsi="Times New Roman" w:cs="Times New Roman"/>
          <w:i/>
          <w:lang w:eastAsia="it-IT"/>
        </w:rPr>
        <w:t>ostituisc</w:t>
      </w:r>
      <w:r w:rsidR="00CF48C2" w:rsidRPr="003830CE">
        <w:rPr>
          <w:rFonts w:ascii="Times New Roman" w:eastAsia="Times New Roman" w:hAnsi="Times New Roman" w:cs="Times New Roman"/>
          <w:i/>
          <w:lang w:eastAsia="it-IT"/>
        </w:rPr>
        <w:t>e</w:t>
      </w:r>
      <w:r w:rsidR="0011547E" w:rsidRPr="003830CE">
        <w:rPr>
          <w:rFonts w:ascii="Times New Roman" w:eastAsia="Times New Roman" w:hAnsi="Times New Roman" w:cs="Times New Roman"/>
          <w:i/>
          <w:lang w:eastAsia="it-IT"/>
        </w:rPr>
        <w:t xml:space="preserve"> un impeg</w:t>
      </w:r>
      <w:r w:rsidR="00BB3002" w:rsidRPr="003830CE">
        <w:rPr>
          <w:rFonts w:ascii="Times New Roman" w:eastAsia="Times New Roman" w:hAnsi="Times New Roman" w:cs="Times New Roman"/>
          <w:i/>
          <w:lang w:eastAsia="it-IT"/>
        </w:rPr>
        <w:t>no assunto da un soggetto terzo</w:t>
      </w:r>
      <w:r w:rsidR="0011547E" w:rsidRPr="003830CE">
        <w:rPr>
          <w:rFonts w:ascii="Times New Roman" w:eastAsia="Times New Roman" w:hAnsi="Times New Roman" w:cs="Times New Roman"/>
          <w:i/>
          <w:lang w:eastAsia="it-IT"/>
        </w:rPr>
        <w:t xml:space="preserve"> rispetto a</w:t>
      </w:r>
      <w:r w:rsidR="00CF48C2" w:rsidRPr="003830CE">
        <w:rPr>
          <w:rFonts w:ascii="Times New Roman" w:eastAsia="Times New Roman" w:hAnsi="Times New Roman" w:cs="Times New Roman"/>
          <w:i/>
          <w:lang w:eastAsia="it-IT"/>
        </w:rPr>
        <w:t xml:space="preserve">lle parti contraenti, </w:t>
      </w:r>
      <w:r w:rsidR="00C660D8" w:rsidRPr="003830CE">
        <w:rPr>
          <w:rFonts w:ascii="Times New Roman" w:eastAsia="Times New Roman" w:hAnsi="Times New Roman" w:cs="Times New Roman"/>
          <w:i/>
          <w:lang w:eastAsia="it-IT"/>
        </w:rPr>
        <w:t>ch</w:t>
      </w:r>
      <w:r w:rsidR="00CF48C2" w:rsidRPr="003830CE">
        <w:rPr>
          <w:rFonts w:ascii="Times New Roman" w:eastAsia="Times New Roman" w:hAnsi="Times New Roman" w:cs="Times New Roman"/>
          <w:i/>
          <w:lang w:eastAsia="it-IT"/>
        </w:rPr>
        <w:t>e svolge</w:t>
      </w:r>
      <w:r w:rsidR="0011547E" w:rsidRPr="003830CE">
        <w:rPr>
          <w:rFonts w:ascii="Times New Roman" w:eastAsia="Times New Roman" w:hAnsi="Times New Roman" w:cs="Times New Roman"/>
          <w:i/>
          <w:lang w:eastAsia="it-IT"/>
        </w:rPr>
        <w:t xml:space="preserve"> una funzione servente e accessoria</w:t>
      </w:r>
      <w:r w:rsidR="00CF48C2" w:rsidRPr="003830CE">
        <w:rPr>
          <w:rFonts w:ascii="Times New Roman" w:eastAsia="Times New Roman" w:hAnsi="Times New Roman" w:cs="Times New Roman"/>
          <w:i/>
          <w:lang w:eastAsia="it-IT"/>
        </w:rPr>
        <w:t xml:space="preserve"> rispetto all’impegno derivante </w:t>
      </w:r>
      <w:r w:rsidR="00ED0A5A" w:rsidRPr="003830CE">
        <w:rPr>
          <w:rFonts w:ascii="Times New Roman" w:eastAsia="Times New Roman" w:hAnsi="Times New Roman" w:cs="Times New Roman"/>
          <w:i/>
          <w:lang w:eastAsia="it-IT"/>
        </w:rPr>
        <w:t>dall’offerta, tesa a garantire l’amministrazione in caso di mancata sottoscrizione del contratto da parte dell’affidatario</w:t>
      </w:r>
      <w:r w:rsidR="0011547E" w:rsidRPr="003830CE">
        <w:rPr>
          <w:rFonts w:ascii="Times New Roman" w:eastAsia="Times New Roman" w:hAnsi="Times New Roman" w:cs="Times New Roman"/>
          <w:i/>
          <w:lang w:eastAsia="it-IT"/>
        </w:rPr>
        <w:t>.</w:t>
      </w:r>
      <w:r w:rsidR="00CF48C2" w:rsidRPr="003830CE">
        <w:rPr>
          <w:rFonts w:ascii="Times New Roman" w:eastAsia="Times New Roman" w:hAnsi="Times New Roman" w:cs="Times New Roman"/>
          <w:i/>
          <w:lang w:eastAsia="it-IT"/>
        </w:rPr>
        <w:t xml:space="preserve"> </w:t>
      </w:r>
      <w:r w:rsidR="00BB3002" w:rsidRPr="003830CE">
        <w:rPr>
          <w:rFonts w:ascii="Times New Roman" w:eastAsia="Times New Roman" w:hAnsi="Times New Roman" w:cs="Times New Roman"/>
          <w:i/>
          <w:lang w:eastAsia="it-IT"/>
        </w:rPr>
        <w:t>Il contributo</w:t>
      </w:r>
      <w:r w:rsidR="00C660D8" w:rsidRPr="003830CE">
        <w:rPr>
          <w:rFonts w:ascii="Times New Roman" w:eastAsia="Times New Roman" w:hAnsi="Times New Roman" w:cs="Times New Roman"/>
          <w:i/>
          <w:lang w:eastAsia="it-IT"/>
        </w:rPr>
        <w:t xml:space="preserve"> ripercor</w:t>
      </w:r>
      <w:r w:rsidR="007A71B9" w:rsidRPr="003830CE">
        <w:rPr>
          <w:rFonts w:ascii="Times New Roman" w:eastAsia="Times New Roman" w:hAnsi="Times New Roman" w:cs="Times New Roman"/>
          <w:i/>
          <w:lang w:eastAsia="it-IT"/>
        </w:rPr>
        <w:t>re gli</w:t>
      </w:r>
      <w:r w:rsidR="00C660D8" w:rsidRPr="003830CE">
        <w:rPr>
          <w:rFonts w:ascii="Times New Roman" w:eastAsia="Times New Roman" w:hAnsi="Times New Roman" w:cs="Times New Roman"/>
          <w:i/>
          <w:lang w:eastAsia="it-IT"/>
        </w:rPr>
        <w:t xml:space="preserve"> orientamenti giurisprudenziali</w:t>
      </w:r>
      <w:r w:rsidR="007A71B9" w:rsidRPr="003830CE">
        <w:rPr>
          <w:rFonts w:ascii="Times New Roman" w:eastAsia="Times New Roman" w:hAnsi="Times New Roman" w:cs="Times New Roman"/>
          <w:i/>
          <w:lang w:eastAsia="it-IT"/>
        </w:rPr>
        <w:t xml:space="preserve"> (talvolta contrastanti)</w:t>
      </w:r>
      <w:r w:rsidR="00C660D8" w:rsidRPr="003830CE">
        <w:rPr>
          <w:rFonts w:ascii="Times New Roman" w:eastAsia="Times New Roman" w:hAnsi="Times New Roman" w:cs="Times New Roman"/>
          <w:i/>
          <w:lang w:eastAsia="it-IT"/>
        </w:rPr>
        <w:t xml:space="preserve"> sviluppatisi in ordine alla natura, funzione e corretta applicazione dell’istituto dell</w:t>
      </w:r>
      <w:r w:rsidR="007A71B9" w:rsidRPr="003830CE">
        <w:rPr>
          <w:rFonts w:ascii="Times New Roman" w:eastAsia="Times New Roman" w:hAnsi="Times New Roman" w:cs="Times New Roman"/>
          <w:i/>
          <w:lang w:eastAsia="it-IT"/>
        </w:rPr>
        <w:t>a cd. cauzione</w:t>
      </w:r>
      <w:r w:rsidR="00C660D8" w:rsidRPr="003830CE">
        <w:rPr>
          <w:rFonts w:ascii="Times New Roman" w:eastAsia="Times New Roman" w:hAnsi="Times New Roman" w:cs="Times New Roman"/>
          <w:i/>
          <w:lang w:eastAsia="it-IT"/>
        </w:rPr>
        <w:t xml:space="preserve"> provvisor</w:t>
      </w:r>
      <w:r w:rsidR="007A71B9" w:rsidRPr="003830CE">
        <w:rPr>
          <w:rFonts w:ascii="Times New Roman" w:eastAsia="Times New Roman" w:hAnsi="Times New Roman" w:cs="Times New Roman"/>
          <w:i/>
          <w:lang w:eastAsia="it-IT"/>
        </w:rPr>
        <w:t xml:space="preserve">ia. Di particolare interesse è la questione relativa alla possibilità o meno, per la stazione appaltante, di escludere </w:t>
      </w:r>
      <w:r w:rsidR="007A71B9" w:rsidRPr="003830CE">
        <w:rPr>
          <w:rStyle w:val="Enfasigrassetto"/>
          <w:rFonts w:ascii="Times New Roman" w:hAnsi="Times New Roman" w:cs="Times New Roman"/>
          <w:b w:val="0"/>
          <w:i/>
        </w:rPr>
        <w:t>dalla g</w:t>
      </w:r>
      <w:r w:rsidR="00C12B44">
        <w:rPr>
          <w:rStyle w:val="Enfasigrassetto"/>
          <w:rFonts w:ascii="Times New Roman" w:hAnsi="Times New Roman" w:cs="Times New Roman"/>
          <w:b w:val="0"/>
          <w:i/>
        </w:rPr>
        <w:t>ara il concorrente per la mancata allegazione</w:t>
      </w:r>
      <w:r w:rsidR="007A71B9" w:rsidRPr="003830CE">
        <w:rPr>
          <w:rStyle w:val="Enfasigrassetto"/>
          <w:rFonts w:ascii="Times New Roman" w:hAnsi="Times New Roman" w:cs="Times New Roman"/>
          <w:b w:val="0"/>
          <w:i/>
        </w:rPr>
        <w:t xml:space="preserve"> o l’incompletezza della garanzia provvisoria</w:t>
      </w:r>
      <w:r w:rsidR="00047D15">
        <w:rPr>
          <w:rStyle w:val="Enfasigrassetto"/>
          <w:rFonts w:ascii="Times New Roman" w:hAnsi="Times New Roman" w:cs="Times New Roman"/>
          <w:b w:val="0"/>
          <w:i/>
        </w:rPr>
        <w:t>: il dibattito</w:t>
      </w:r>
      <w:r w:rsidR="00BB3002" w:rsidRPr="003830CE">
        <w:rPr>
          <w:rStyle w:val="Enfasigrassetto"/>
          <w:rFonts w:ascii="Times New Roman" w:hAnsi="Times New Roman" w:cs="Times New Roman"/>
          <w:b w:val="0"/>
          <w:i/>
        </w:rPr>
        <w:t xml:space="preserve"> non ha ancora trovato pacifica soluzione!</w:t>
      </w:r>
      <w:r w:rsidR="007A71B9" w:rsidRPr="003830CE">
        <w:rPr>
          <w:rFonts w:ascii="Times New Roman" w:eastAsia="Times New Roman" w:hAnsi="Times New Roman" w:cs="Times New Roman"/>
          <w:i/>
          <w:lang w:eastAsia="it-IT"/>
        </w:rPr>
        <w:t xml:space="preserve">  </w:t>
      </w:r>
      <w:r w:rsidR="00C660D8" w:rsidRPr="003830CE">
        <w:rPr>
          <w:rFonts w:ascii="Times New Roman" w:eastAsia="Times New Roman" w:hAnsi="Times New Roman" w:cs="Times New Roman"/>
          <w:i/>
          <w:lang w:eastAsia="it-IT"/>
        </w:rPr>
        <w:t xml:space="preserve"> </w:t>
      </w:r>
      <w:r w:rsidR="00CF48C2" w:rsidRPr="003830CE">
        <w:rPr>
          <w:rFonts w:ascii="Times New Roman" w:eastAsia="Times New Roman" w:hAnsi="Times New Roman" w:cs="Times New Roman"/>
          <w:i/>
          <w:lang w:eastAsia="it-IT"/>
        </w:rPr>
        <w:t xml:space="preserve"> </w:t>
      </w:r>
      <w:r w:rsidR="0011547E" w:rsidRPr="003830CE">
        <w:rPr>
          <w:rFonts w:ascii="Times New Roman" w:eastAsia="Times New Roman" w:hAnsi="Times New Roman" w:cs="Times New Roman"/>
          <w:i/>
          <w:lang w:eastAsia="it-IT"/>
        </w:rPr>
        <w:t xml:space="preserve"> </w:t>
      </w:r>
      <w:r w:rsidR="00CF48C2" w:rsidRPr="003830CE">
        <w:rPr>
          <w:rFonts w:ascii="Times New Roman" w:eastAsia="Times New Roman" w:hAnsi="Times New Roman" w:cs="Times New Roman"/>
          <w:i/>
          <w:lang w:eastAsia="it-IT"/>
        </w:rPr>
        <w:t xml:space="preserve"> </w:t>
      </w:r>
    </w:p>
    <w:p w:rsidR="0011547E" w:rsidRPr="003830CE" w:rsidRDefault="0011547E" w:rsidP="00736141">
      <w:pPr>
        <w:pStyle w:val="Nessunaspaziatura"/>
        <w:spacing w:line="360" w:lineRule="auto"/>
        <w:jc w:val="both"/>
        <w:rPr>
          <w:rStyle w:val="Enfasigrassetto"/>
          <w:rFonts w:ascii="Times New Roman" w:hAnsi="Times New Roman" w:cs="Times New Roman"/>
          <w:i/>
        </w:rPr>
      </w:pPr>
    </w:p>
    <w:p w:rsidR="005818BA" w:rsidRDefault="00483477" w:rsidP="00736141">
      <w:pPr>
        <w:pStyle w:val="Nessunaspaziatura"/>
        <w:spacing w:line="360" w:lineRule="auto"/>
        <w:jc w:val="both"/>
        <w:rPr>
          <w:rStyle w:val="Enfasigrassetto"/>
          <w:rFonts w:ascii="Times New Roman" w:hAnsi="Times New Roman" w:cs="Times New Roman"/>
        </w:rPr>
      </w:pPr>
      <w:r>
        <w:rPr>
          <w:rStyle w:val="Enfasigrassetto"/>
          <w:rFonts w:ascii="Times New Roman" w:hAnsi="Times New Roman" w:cs="Times New Roman"/>
        </w:rPr>
        <w:t xml:space="preserve">I. </w:t>
      </w:r>
      <w:r w:rsidR="005818BA" w:rsidRPr="00483477">
        <w:rPr>
          <w:rStyle w:val="Enfasigrassetto"/>
          <w:rFonts w:ascii="Times New Roman" w:hAnsi="Times New Roman" w:cs="Times New Roman"/>
        </w:rPr>
        <w:t>L’istituto</w:t>
      </w:r>
      <w:r w:rsidR="003830CE">
        <w:rPr>
          <w:rStyle w:val="Enfasigrassetto"/>
          <w:rFonts w:ascii="Times New Roman" w:hAnsi="Times New Roman" w:cs="Times New Roman"/>
        </w:rPr>
        <w:t>; II La g</w:t>
      </w:r>
      <w:r w:rsidR="005818BA" w:rsidRPr="00483477">
        <w:rPr>
          <w:rStyle w:val="Enfasigrassetto"/>
          <w:rFonts w:ascii="Times New Roman" w:hAnsi="Times New Roman" w:cs="Times New Roman"/>
        </w:rPr>
        <w:t>iurisprudenza 1. Natura e funzione</w:t>
      </w:r>
      <w:r w:rsidR="005818BA" w:rsidRPr="00483477">
        <w:rPr>
          <w:rStyle w:val="Enfasigrassetto"/>
          <w:rFonts w:ascii="MS Mincho" w:eastAsia="MS Mincho" w:hAnsi="MS Mincho" w:cs="MS Mincho"/>
          <w:b w:val="0"/>
        </w:rPr>
        <w:t xml:space="preserve">; </w:t>
      </w:r>
      <w:r w:rsidR="006762FA">
        <w:rPr>
          <w:rStyle w:val="Enfasigrassetto"/>
          <w:rFonts w:ascii="Times New Roman" w:hAnsi="Times New Roman" w:cs="Times New Roman"/>
        </w:rPr>
        <w:t>2. Fideiussione o</w:t>
      </w:r>
      <w:r w:rsidR="005818BA" w:rsidRPr="00483477">
        <w:rPr>
          <w:rStyle w:val="Enfasigrassetto"/>
          <w:rFonts w:ascii="Times New Roman" w:hAnsi="Times New Roman" w:cs="Times New Roman"/>
        </w:rPr>
        <w:t xml:space="preserve"> contratto autonomo di garanzia</w:t>
      </w:r>
      <w:r w:rsidR="006762FA">
        <w:rPr>
          <w:rStyle w:val="Enfasigrassetto"/>
          <w:rFonts w:ascii="Times New Roman" w:hAnsi="Times New Roman" w:cs="Times New Roman"/>
        </w:rPr>
        <w:t>?</w:t>
      </w:r>
      <w:r w:rsidR="005818BA" w:rsidRPr="00483477">
        <w:rPr>
          <w:rStyle w:val="Enfasigrassetto"/>
          <w:rFonts w:ascii="Times New Roman" w:hAnsi="Times New Roman" w:cs="Times New Roman"/>
        </w:rPr>
        <w:t>; 3. La cauzione prestata dai Raggruppamenti Temporanei di Imprese e dai Consorzi</w:t>
      </w:r>
      <w:r w:rsidR="005818BA" w:rsidRPr="00483477">
        <w:rPr>
          <w:rStyle w:val="Enfasigrassetto"/>
          <w:rFonts w:ascii="Times New Roman" w:hAnsi="Times New Roman" w:cs="Times New Roman"/>
          <w:b w:val="0"/>
        </w:rPr>
        <w:t>;</w:t>
      </w:r>
      <w:r w:rsidR="005818BA" w:rsidRPr="00483477">
        <w:rPr>
          <w:rStyle w:val="Enfasigrassetto"/>
          <w:rFonts w:ascii="Times New Roman" w:hAnsi="Times New Roman" w:cs="Times New Roman"/>
        </w:rPr>
        <w:t xml:space="preserve"> </w:t>
      </w:r>
      <w:r w:rsidR="00BB3002">
        <w:rPr>
          <w:rStyle w:val="Enfasigrassetto"/>
          <w:rFonts w:ascii="Times New Roman" w:hAnsi="Times New Roman" w:cs="Times New Roman"/>
        </w:rPr>
        <w:t>4</w:t>
      </w:r>
      <w:r w:rsidRPr="00483477">
        <w:rPr>
          <w:rStyle w:val="Enfasigrassetto"/>
          <w:rFonts w:ascii="Times New Roman" w:hAnsi="Times New Roman" w:cs="Times New Roman"/>
        </w:rPr>
        <w:t xml:space="preserve">. Validità della garanzia; </w:t>
      </w:r>
      <w:r w:rsidR="00BB3002">
        <w:rPr>
          <w:rStyle w:val="Enfasigrassetto"/>
          <w:rFonts w:ascii="Times New Roman" w:hAnsi="Times New Roman" w:cs="Times New Roman"/>
        </w:rPr>
        <w:t>5</w:t>
      </w:r>
      <w:r>
        <w:rPr>
          <w:rStyle w:val="Enfasigrassetto"/>
          <w:rFonts w:ascii="Times New Roman" w:hAnsi="Times New Roman" w:cs="Times New Roman"/>
        </w:rPr>
        <w:t xml:space="preserve">. </w:t>
      </w:r>
      <w:r w:rsidRPr="00483477">
        <w:rPr>
          <w:rStyle w:val="Enfasigrassetto"/>
          <w:rFonts w:ascii="Times New Roman" w:hAnsi="Times New Roman" w:cs="Times New Roman"/>
        </w:rPr>
        <w:t>Riduzione e svincolo della garanzia;</w:t>
      </w:r>
      <w:r w:rsidR="003830CE" w:rsidRPr="00483477">
        <w:rPr>
          <w:rStyle w:val="Enfasigrassetto"/>
          <w:rFonts w:ascii="Times New Roman" w:hAnsi="Times New Roman" w:cs="Times New Roman"/>
        </w:rPr>
        <w:t xml:space="preserve"> </w:t>
      </w:r>
      <w:r w:rsidRPr="00483477">
        <w:rPr>
          <w:rStyle w:val="Enfasigrassetto"/>
          <w:rFonts w:ascii="Times New Roman" w:hAnsi="Times New Roman" w:cs="Times New Roman"/>
        </w:rPr>
        <w:t>III Le questioni aperte: 1. L’esclusione dalla gara per assenza o incompletezza della garanzia provvisoria</w:t>
      </w:r>
      <w:r w:rsidR="00537465">
        <w:rPr>
          <w:rStyle w:val="Enfasigrassetto"/>
          <w:rFonts w:ascii="Times New Roman" w:hAnsi="Times New Roman" w:cs="Times New Roman"/>
        </w:rPr>
        <w:t>;</w:t>
      </w:r>
      <w:r w:rsidRPr="00483477">
        <w:rPr>
          <w:rStyle w:val="Enfasigrassetto"/>
          <w:rFonts w:ascii="Times New Roman" w:hAnsi="Times New Roman" w:cs="Times New Roman"/>
        </w:rPr>
        <w:t xml:space="preserve"> </w:t>
      </w:r>
      <w:r w:rsidR="00537465">
        <w:rPr>
          <w:rStyle w:val="Enfasigrassetto"/>
          <w:rFonts w:ascii="Times New Roman" w:hAnsi="Times New Roman" w:cs="Times New Roman"/>
        </w:rPr>
        <w:t>2. La</w:t>
      </w:r>
      <w:r w:rsidR="00537465" w:rsidRPr="00483477">
        <w:rPr>
          <w:rStyle w:val="Enfasigrassetto"/>
          <w:rFonts w:ascii="Times New Roman" w:hAnsi="Times New Roman" w:cs="Times New Roman"/>
        </w:rPr>
        <w:t xml:space="preserve"> cauzione provvisoria negli affidamenti in economia</w:t>
      </w:r>
      <w:r w:rsidR="004852CD">
        <w:rPr>
          <w:rStyle w:val="Enfasigrassetto"/>
          <w:rFonts w:ascii="Times New Roman" w:hAnsi="Times New Roman" w:cs="Times New Roman"/>
        </w:rPr>
        <w:t>; IV Soluzioni e prospettive.</w:t>
      </w:r>
    </w:p>
    <w:p w:rsidR="005818BA" w:rsidRDefault="005818BA" w:rsidP="00736141">
      <w:pPr>
        <w:pStyle w:val="Nessunaspaziatura"/>
        <w:spacing w:line="360" w:lineRule="auto"/>
        <w:jc w:val="both"/>
        <w:rPr>
          <w:rStyle w:val="Enfasigrassetto"/>
          <w:rFonts w:ascii="Times New Roman" w:hAnsi="Times New Roman" w:cs="Times New Roman"/>
        </w:rPr>
      </w:pPr>
    </w:p>
    <w:p w:rsidR="00CC7CB9" w:rsidRPr="00D615DE" w:rsidRDefault="00F55417" w:rsidP="005818BA">
      <w:pPr>
        <w:pStyle w:val="Nessunaspaziatura"/>
        <w:numPr>
          <w:ilvl w:val="0"/>
          <w:numId w:val="8"/>
        </w:numPr>
        <w:spacing w:line="360" w:lineRule="auto"/>
        <w:ind w:left="0" w:hanging="284"/>
        <w:jc w:val="both"/>
        <w:rPr>
          <w:rStyle w:val="Enfasigrassetto"/>
          <w:rFonts w:ascii="Times New Roman" w:hAnsi="Times New Roman" w:cs="Times New Roman"/>
        </w:rPr>
      </w:pPr>
      <w:r w:rsidRPr="00D615DE">
        <w:rPr>
          <w:rStyle w:val="Enfasigrassetto"/>
          <w:rFonts w:ascii="Times New Roman" w:hAnsi="Times New Roman" w:cs="Times New Roman"/>
        </w:rPr>
        <w:t>L’istituto</w:t>
      </w:r>
    </w:p>
    <w:p w:rsidR="006762FA" w:rsidRDefault="00A2128E" w:rsidP="00CF48C2">
      <w:pPr>
        <w:pStyle w:val="Nessunaspaziatura"/>
        <w:spacing w:line="360" w:lineRule="auto"/>
        <w:jc w:val="both"/>
        <w:rPr>
          <w:rStyle w:val="Enfasicorsivo"/>
          <w:rFonts w:ascii="Times New Roman" w:hAnsi="Times New Roman" w:cs="Times New Roman"/>
          <w:i w:val="0"/>
        </w:rPr>
      </w:pPr>
      <w:r w:rsidRPr="00B561D8">
        <w:rPr>
          <w:rStyle w:val="Enfasicorsivo"/>
          <w:rFonts w:ascii="Times New Roman" w:hAnsi="Times New Roman" w:cs="Times New Roman"/>
          <w:i w:val="0"/>
        </w:rPr>
        <w:t>L’art. 75 del Codic</w:t>
      </w:r>
      <w:r w:rsidR="00525890">
        <w:rPr>
          <w:rStyle w:val="Enfasicorsivo"/>
          <w:rFonts w:ascii="Times New Roman" w:hAnsi="Times New Roman" w:cs="Times New Roman"/>
          <w:i w:val="0"/>
        </w:rPr>
        <w:t xml:space="preserve">e dei contratti pubblici </w:t>
      </w:r>
      <w:r w:rsidR="00CF48C2">
        <w:rPr>
          <w:rStyle w:val="Enfasigrassetto"/>
          <w:rFonts w:ascii="Times New Roman" w:hAnsi="Times New Roman" w:cs="Times New Roman"/>
          <w:b w:val="0"/>
        </w:rPr>
        <w:t xml:space="preserve">recepisce il contenuto degli </w:t>
      </w:r>
      <w:r w:rsidR="00CF48C2" w:rsidRPr="0041313F">
        <w:rPr>
          <w:rStyle w:val="Enfasigrassetto"/>
          <w:rFonts w:ascii="Times New Roman" w:hAnsi="Times New Roman" w:cs="Times New Roman"/>
          <w:b w:val="0"/>
        </w:rPr>
        <w:t xml:space="preserve">artt. 30, </w:t>
      </w:r>
      <w:r w:rsidR="00CF48C2">
        <w:rPr>
          <w:rStyle w:val="Enfasigrassetto"/>
          <w:rFonts w:ascii="Times New Roman" w:hAnsi="Times New Roman" w:cs="Times New Roman"/>
          <w:b w:val="0"/>
        </w:rPr>
        <w:t>della Legge n. 109/1994, e 100 del</w:t>
      </w:r>
      <w:r w:rsidR="00CF48C2" w:rsidRPr="0041313F">
        <w:rPr>
          <w:rStyle w:val="Enfasigrassetto"/>
          <w:rFonts w:ascii="Times New Roman" w:hAnsi="Times New Roman" w:cs="Times New Roman"/>
          <w:b w:val="0"/>
        </w:rPr>
        <w:t xml:space="preserve"> D.P.R. n. 554/1999</w:t>
      </w:r>
      <w:r w:rsidR="00CF48C2">
        <w:rPr>
          <w:rStyle w:val="Enfasigrassetto"/>
          <w:rFonts w:ascii="Times New Roman" w:hAnsi="Times New Roman" w:cs="Times New Roman"/>
          <w:b w:val="0"/>
        </w:rPr>
        <w:t xml:space="preserve"> (ora abrogati), estendendolo</w:t>
      </w:r>
      <w:r w:rsidR="00CF48C2" w:rsidRPr="0041313F">
        <w:rPr>
          <w:rStyle w:val="Enfasigrassetto"/>
          <w:rFonts w:ascii="Times New Roman" w:hAnsi="Times New Roman" w:cs="Times New Roman"/>
          <w:b w:val="0"/>
        </w:rPr>
        <w:t xml:space="preserve"> anche agli appalti di forniture e servizi. Nell’ambito di questi ultimi settori, infatti, l’ordinamento, non aveva mai previsto espressamente l’obbligo del deposito di una cauzione provvisoria a garanzia delle obbligazioni assunte dal </w:t>
      </w:r>
      <w:r w:rsidR="00CF48C2" w:rsidRPr="00B561D8">
        <w:rPr>
          <w:rStyle w:val="Enfasicorsivo"/>
          <w:rFonts w:ascii="Times New Roman" w:hAnsi="Times New Roman" w:cs="Times New Roman"/>
          <w:i w:val="0"/>
        </w:rPr>
        <w:t>concorrente e la dottrina, in proposito, è sempre stata concorde nell’escludere per analogia l’applicazione delle norme sui lavori pubblici.</w:t>
      </w:r>
    </w:p>
    <w:p w:rsidR="00A2128E" w:rsidRPr="00B561D8" w:rsidRDefault="00CF48C2" w:rsidP="00736141">
      <w:pPr>
        <w:pStyle w:val="Nessunaspaziatura"/>
        <w:spacing w:line="360" w:lineRule="auto"/>
        <w:jc w:val="both"/>
        <w:rPr>
          <w:rStyle w:val="Enfasicorsivo"/>
          <w:rFonts w:ascii="Times New Roman" w:hAnsi="Times New Roman" w:cs="Times New Roman"/>
          <w:i w:val="0"/>
        </w:rPr>
      </w:pPr>
      <w:r>
        <w:rPr>
          <w:rStyle w:val="Enfasicorsivo"/>
          <w:rFonts w:ascii="Times New Roman" w:hAnsi="Times New Roman" w:cs="Times New Roman"/>
          <w:i w:val="0"/>
        </w:rPr>
        <w:t xml:space="preserve">La norma in commento </w:t>
      </w:r>
      <w:r w:rsidR="00525890">
        <w:rPr>
          <w:rStyle w:val="Enfasicorsivo"/>
          <w:rFonts w:ascii="Times New Roman" w:hAnsi="Times New Roman" w:cs="Times New Roman"/>
          <w:i w:val="0"/>
        </w:rPr>
        <w:t>stabilisce</w:t>
      </w:r>
      <w:r w:rsidR="00A2128E" w:rsidRPr="00B561D8">
        <w:rPr>
          <w:rStyle w:val="Enfasicorsivo"/>
          <w:rFonts w:ascii="Times New Roman" w:hAnsi="Times New Roman" w:cs="Times New Roman"/>
          <w:i w:val="0"/>
        </w:rPr>
        <w:t xml:space="preserve"> che l’offert</w:t>
      </w:r>
      <w:r w:rsidR="00C12B44">
        <w:rPr>
          <w:rStyle w:val="Enfasicorsivo"/>
          <w:rFonts w:ascii="Times New Roman" w:hAnsi="Times New Roman" w:cs="Times New Roman"/>
          <w:i w:val="0"/>
        </w:rPr>
        <w:t>a sia corredata da una garanzia</w:t>
      </w:r>
      <w:r w:rsidR="00A2128E" w:rsidRPr="00B561D8">
        <w:rPr>
          <w:rStyle w:val="Enfasicorsivo"/>
          <w:rFonts w:ascii="Times New Roman" w:hAnsi="Times New Roman" w:cs="Times New Roman"/>
          <w:i w:val="0"/>
        </w:rPr>
        <w:t xml:space="preserve"> equivalente al 2% del prezzo base indicato nel bando o nell’invito, sotto forma di cauzione o di fideiussione, a scelta dell’offerente.</w:t>
      </w:r>
    </w:p>
    <w:p w:rsidR="00A2128E" w:rsidRPr="00D615DE" w:rsidRDefault="00A2128E" w:rsidP="00A2128E">
      <w:pPr>
        <w:pStyle w:val="Nessunaspaziatura"/>
        <w:spacing w:line="360" w:lineRule="auto"/>
        <w:jc w:val="both"/>
        <w:rPr>
          <w:rStyle w:val="Enfasicorsivo"/>
          <w:rFonts w:ascii="Times New Roman" w:hAnsi="Times New Roman" w:cs="Times New Roman"/>
          <w:i w:val="0"/>
        </w:rPr>
      </w:pPr>
      <w:r w:rsidRPr="00B561D8">
        <w:rPr>
          <w:rStyle w:val="Enfasicorsivo"/>
          <w:rFonts w:ascii="Times New Roman" w:hAnsi="Times New Roman" w:cs="Times New Roman"/>
          <w:i w:val="0"/>
        </w:rPr>
        <w:t>La garanzia prestata dai concorrenti copre la mancata sottoscrizione del contratto per fatto dell'affidatario e persegue una duplice finalità: da un lato, tutela</w:t>
      </w:r>
      <w:r w:rsidR="00CF4747" w:rsidRPr="00B561D8">
        <w:rPr>
          <w:rStyle w:val="Enfasicorsivo"/>
          <w:rFonts w:ascii="Times New Roman" w:hAnsi="Times New Roman" w:cs="Times New Roman"/>
          <w:i w:val="0"/>
        </w:rPr>
        <w:t xml:space="preserve"> la stazione appaltante dall'eventuale mancata sottoscrizione del contratto</w:t>
      </w:r>
      <w:r w:rsidRPr="00B561D8">
        <w:rPr>
          <w:rStyle w:val="Enfasicorsivo"/>
          <w:rFonts w:ascii="Times New Roman" w:hAnsi="Times New Roman" w:cs="Times New Roman"/>
          <w:i w:val="0"/>
        </w:rPr>
        <w:t>,</w:t>
      </w:r>
      <w:r w:rsidR="008F43FA" w:rsidRPr="00B561D8">
        <w:rPr>
          <w:rStyle w:val="Enfasicorsivo"/>
          <w:rFonts w:ascii="Times New Roman" w:hAnsi="Times New Roman" w:cs="Times New Roman"/>
          <w:i w:val="0"/>
        </w:rPr>
        <w:t xml:space="preserve"> costituendo una liquid</w:t>
      </w:r>
      <w:r w:rsidR="00C12B44">
        <w:rPr>
          <w:rStyle w:val="Enfasicorsivo"/>
          <w:rFonts w:ascii="Times New Roman" w:hAnsi="Times New Roman" w:cs="Times New Roman"/>
          <w:i w:val="0"/>
        </w:rPr>
        <w:t xml:space="preserve">azione </w:t>
      </w:r>
      <w:r w:rsidR="008F43FA" w:rsidRPr="00B561D8">
        <w:rPr>
          <w:rStyle w:val="Enfasicorsivo"/>
          <w:rFonts w:ascii="Times New Roman" w:hAnsi="Times New Roman" w:cs="Times New Roman"/>
          <w:i w:val="0"/>
        </w:rPr>
        <w:t xml:space="preserve">del danno nel caso non si addivenga alla </w:t>
      </w:r>
      <w:r w:rsidR="00380761" w:rsidRPr="00B561D8">
        <w:rPr>
          <w:rStyle w:val="Enfasicorsivo"/>
          <w:rFonts w:ascii="Times New Roman" w:hAnsi="Times New Roman" w:cs="Times New Roman"/>
          <w:i w:val="0"/>
        </w:rPr>
        <w:t xml:space="preserve">sua </w:t>
      </w:r>
      <w:r w:rsidR="008F43FA" w:rsidRPr="00B561D8">
        <w:rPr>
          <w:rStyle w:val="Enfasicorsivo"/>
          <w:rFonts w:ascii="Times New Roman" w:hAnsi="Times New Roman" w:cs="Times New Roman"/>
          <w:i w:val="0"/>
        </w:rPr>
        <w:t xml:space="preserve">stipula </w:t>
      </w:r>
      <w:r w:rsidR="00380761" w:rsidRPr="00B561D8">
        <w:rPr>
          <w:rStyle w:val="Enfasicorsivo"/>
          <w:rFonts w:ascii="Times New Roman" w:hAnsi="Times New Roman" w:cs="Times New Roman"/>
          <w:i w:val="0"/>
        </w:rPr>
        <w:t>p</w:t>
      </w:r>
      <w:r w:rsidR="008F43FA" w:rsidRPr="00B561D8">
        <w:rPr>
          <w:rStyle w:val="Enfasicorsivo"/>
          <w:rFonts w:ascii="Times New Roman" w:hAnsi="Times New Roman" w:cs="Times New Roman"/>
          <w:i w:val="0"/>
        </w:rPr>
        <w:t xml:space="preserve">er causa imputabile all’aggiudicatario e, dall'altro, </w:t>
      </w:r>
      <w:r w:rsidR="00CF4747" w:rsidRPr="00B561D8">
        <w:rPr>
          <w:rStyle w:val="Enfasicorsivo"/>
          <w:rFonts w:ascii="Times New Roman" w:hAnsi="Times New Roman" w:cs="Times New Roman"/>
          <w:i w:val="0"/>
        </w:rPr>
        <w:t xml:space="preserve">assolve alla funzione di assicurare </w:t>
      </w:r>
      <w:r w:rsidR="00CF4747" w:rsidRPr="00D615DE">
        <w:rPr>
          <w:rStyle w:val="Enfasicorsivo"/>
          <w:rFonts w:ascii="Times New Roman" w:hAnsi="Times New Roman" w:cs="Times New Roman"/>
          <w:i w:val="0"/>
        </w:rPr>
        <w:t>l'affidabilità e la serietà dell'offerta presentat</w:t>
      </w:r>
      <w:r w:rsidR="0058209F" w:rsidRPr="00D615DE">
        <w:rPr>
          <w:rStyle w:val="Enfasicorsivo"/>
          <w:rFonts w:ascii="Times New Roman" w:hAnsi="Times New Roman" w:cs="Times New Roman"/>
          <w:i w:val="0"/>
        </w:rPr>
        <w:t>a.</w:t>
      </w:r>
    </w:p>
    <w:p w:rsidR="00B561D8" w:rsidRPr="00D615DE" w:rsidRDefault="00A2128E" w:rsidP="00736141">
      <w:pPr>
        <w:pStyle w:val="Nessunaspaziatura"/>
        <w:spacing w:line="360" w:lineRule="auto"/>
        <w:jc w:val="both"/>
        <w:rPr>
          <w:rStyle w:val="Enfasicorsivo"/>
          <w:rFonts w:ascii="Times New Roman" w:hAnsi="Times New Roman" w:cs="Times New Roman"/>
          <w:i w:val="0"/>
        </w:rPr>
      </w:pPr>
      <w:r w:rsidRPr="00D615DE">
        <w:rPr>
          <w:rStyle w:val="Enfasicorsivo"/>
          <w:rFonts w:ascii="Times New Roman" w:hAnsi="Times New Roman" w:cs="Times New Roman"/>
          <w:i w:val="0"/>
        </w:rPr>
        <w:t>Il legislatore prevede, inoltre, che la cauzione abbia un periodo minimo di validità di al</w:t>
      </w:r>
      <w:r w:rsidR="006762FA">
        <w:rPr>
          <w:rStyle w:val="Enfasicorsivo"/>
          <w:rFonts w:ascii="Times New Roman" w:hAnsi="Times New Roman" w:cs="Times New Roman"/>
          <w:i w:val="0"/>
          <w:lang w:eastAsia="it-IT"/>
        </w:rPr>
        <w:t>meno centottanta giorni</w:t>
      </w:r>
      <w:r w:rsidRPr="00D615DE">
        <w:rPr>
          <w:rStyle w:val="Enfasicorsivo"/>
          <w:rFonts w:ascii="Times New Roman" w:hAnsi="Times New Roman" w:cs="Times New Roman"/>
          <w:i w:val="0"/>
        </w:rPr>
        <w:t xml:space="preserve">, fatta salva la possibilità di prevedere nella </w:t>
      </w:r>
      <w:proofErr w:type="spellStart"/>
      <w:r w:rsidRPr="00D615DE">
        <w:rPr>
          <w:rStyle w:val="Enfasicorsivo"/>
          <w:rFonts w:ascii="Times New Roman" w:hAnsi="Times New Roman" w:cs="Times New Roman"/>
          <w:i w:val="0"/>
        </w:rPr>
        <w:t>lex</w:t>
      </w:r>
      <w:proofErr w:type="spellEnd"/>
      <w:r w:rsidRPr="00D615DE">
        <w:rPr>
          <w:rStyle w:val="Enfasicorsivo"/>
          <w:rFonts w:ascii="Times New Roman" w:hAnsi="Times New Roman" w:cs="Times New Roman"/>
          <w:i w:val="0"/>
        </w:rPr>
        <w:t xml:space="preserve"> </w:t>
      </w:r>
      <w:proofErr w:type="spellStart"/>
      <w:r w:rsidRPr="00D615DE">
        <w:rPr>
          <w:rStyle w:val="Enfasicorsivo"/>
          <w:rFonts w:ascii="Times New Roman" w:hAnsi="Times New Roman" w:cs="Times New Roman"/>
          <w:i w:val="0"/>
        </w:rPr>
        <w:t>sp</w:t>
      </w:r>
      <w:r w:rsidR="00B561D8" w:rsidRPr="00D615DE">
        <w:rPr>
          <w:rStyle w:val="Enfasicorsivo"/>
          <w:rFonts w:ascii="Times New Roman" w:hAnsi="Times New Roman" w:cs="Times New Roman"/>
          <w:i w:val="0"/>
        </w:rPr>
        <w:t>ecialis</w:t>
      </w:r>
      <w:proofErr w:type="spellEnd"/>
      <w:r w:rsidR="00B561D8" w:rsidRPr="00D615DE">
        <w:rPr>
          <w:rStyle w:val="Enfasicorsivo"/>
          <w:rFonts w:ascii="Times New Roman" w:hAnsi="Times New Roman" w:cs="Times New Roman"/>
          <w:i w:val="0"/>
        </w:rPr>
        <w:t xml:space="preserve"> un termine maggiore o minore.</w:t>
      </w:r>
    </w:p>
    <w:p w:rsidR="00525890" w:rsidRPr="00525890" w:rsidRDefault="006762FA" w:rsidP="00525890">
      <w:pPr>
        <w:pStyle w:val="Nessunaspaziatura"/>
        <w:spacing w:line="360" w:lineRule="auto"/>
        <w:jc w:val="both"/>
        <w:rPr>
          <w:rStyle w:val="Enfasigrassetto"/>
          <w:rFonts w:ascii="Times New Roman" w:hAnsi="Times New Roman" w:cs="Times New Roman"/>
        </w:rPr>
      </w:pPr>
      <w:r>
        <w:rPr>
          <w:rStyle w:val="Enfasigrassetto"/>
          <w:rFonts w:ascii="Times New Roman" w:hAnsi="Times New Roman" w:cs="Times New Roman"/>
          <w:b w:val="0"/>
        </w:rPr>
        <w:t xml:space="preserve">L’offerta </w:t>
      </w:r>
      <w:r w:rsidR="00D615DE" w:rsidRPr="00D615DE">
        <w:rPr>
          <w:rStyle w:val="Enfasigrassetto"/>
          <w:rFonts w:ascii="Times New Roman" w:hAnsi="Times New Roman" w:cs="Times New Roman"/>
          <w:b w:val="0"/>
        </w:rPr>
        <w:t>deve essere corredata</w:t>
      </w:r>
      <w:r>
        <w:rPr>
          <w:rStyle w:val="Enfasigrassetto"/>
          <w:rFonts w:ascii="Times New Roman" w:hAnsi="Times New Roman" w:cs="Times New Roman"/>
          <w:b w:val="0"/>
        </w:rPr>
        <w:t>, altresì,</w:t>
      </w:r>
      <w:r w:rsidR="00D615DE" w:rsidRPr="00D615DE">
        <w:rPr>
          <w:rStyle w:val="Enfasigrassetto"/>
          <w:rFonts w:ascii="Times New Roman" w:hAnsi="Times New Roman" w:cs="Times New Roman"/>
          <w:b w:val="0"/>
        </w:rPr>
        <w:t xml:space="preserve"> </w:t>
      </w:r>
      <w:r w:rsidR="00525890" w:rsidRPr="00525890">
        <w:rPr>
          <w:rStyle w:val="Enfasigrassetto"/>
          <w:rFonts w:ascii="Times New Roman" w:hAnsi="Times New Roman" w:cs="Times New Roman"/>
          <w:b w:val="0"/>
        </w:rPr>
        <w:t>dall’impegno del fideiussore a rilasciare la garanzia definitiva per l’esecuzione del contratto qualora il concorrente dovesse aggiudicarsi la gara. La norma, che riprende il disposto di cui all’art. 30, legge n. 109/1994,</w:t>
      </w:r>
      <w:r w:rsidR="00525890">
        <w:rPr>
          <w:rStyle w:val="Enfasigrassetto"/>
          <w:rFonts w:ascii="Times New Roman" w:hAnsi="Times New Roman" w:cs="Times New Roman"/>
          <w:b w:val="0"/>
        </w:rPr>
        <w:t xml:space="preserve"> </w:t>
      </w:r>
      <w:r w:rsidR="00525890" w:rsidRPr="00525890">
        <w:rPr>
          <w:rStyle w:val="Enfasigrassetto"/>
          <w:rFonts w:ascii="Times New Roman" w:hAnsi="Times New Roman" w:cs="Times New Roman"/>
          <w:b w:val="0"/>
        </w:rPr>
        <w:t xml:space="preserve">è pacificamente interpretata nel senso che, l’impegno a </w:t>
      </w:r>
      <w:r w:rsidR="00525890" w:rsidRPr="00525890">
        <w:rPr>
          <w:rStyle w:val="Enfasigrassetto"/>
          <w:rFonts w:ascii="Times New Roman" w:hAnsi="Times New Roman" w:cs="Times New Roman"/>
          <w:b w:val="0"/>
        </w:rPr>
        <w:lastRenderedPageBreak/>
        <w:t>costitui</w:t>
      </w:r>
      <w:r>
        <w:rPr>
          <w:rStyle w:val="Enfasigrassetto"/>
          <w:rFonts w:ascii="Times New Roman" w:hAnsi="Times New Roman" w:cs="Times New Roman"/>
          <w:b w:val="0"/>
        </w:rPr>
        <w:t>re la cauzione definitiva, venga</w:t>
      </w:r>
      <w:r w:rsidR="00525890" w:rsidRPr="00525890">
        <w:rPr>
          <w:rStyle w:val="Enfasigrassetto"/>
          <w:rFonts w:ascii="Times New Roman" w:hAnsi="Times New Roman" w:cs="Times New Roman"/>
          <w:b w:val="0"/>
        </w:rPr>
        <w:t xml:space="preserve"> assunto dal fideiussore verso il concorrente e non a favore della stazione appaltante</w:t>
      </w:r>
      <w:r w:rsidR="00C12B44">
        <w:rPr>
          <w:rStyle w:val="Rimandonotaapidipagina"/>
          <w:rFonts w:ascii="Times New Roman" w:hAnsi="Times New Roman" w:cs="Times New Roman"/>
          <w:bCs/>
        </w:rPr>
        <w:footnoteReference w:id="1"/>
      </w:r>
      <w:r w:rsidR="00525890" w:rsidRPr="00525890">
        <w:rPr>
          <w:rStyle w:val="Enfasigrassetto"/>
          <w:rFonts w:ascii="Times New Roman" w:hAnsi="Times New Roman" w:cs="Times New Roman"/>
          <w:b w:val="0"/>
        </w:rPr>
        <w:t>. La dottrina è divisa sulla funzione di tale disposizione, la quale, secondo alcuni, sarebbe totalmente inutile, mentre, secondo altri, configurerebbe un contratto preliminare unilaterale a carico del solo proponente, avente lo scopo di salvaguardare gli interessi della stazio</w:t>
      </w:r>
      <w:r w:rsidR="00C12B44">
        <w:rPr>
          <w:rStyle w:val="Enfasigrassetto"/>
          <w:rFonts w:ascii="Times New Roman" w:hAnsi="Times New Roman" w:cs="Times New Roman"/>
          <w:b w:val="0"/>
        </w:rPr>
        <w:t>ne appaltante </w:t>
      </w:r>
      <w:r w:rsidR="00525890" w:rsidRPr="00525890">
        <w:rPr>
          <w:rStyle w:val="Enfasigrassetto"/>
          <w:rFonts w:ascii="Times New Roman" w:hAnsi="Times New Roman" w:cs="Times New Roman"/>
          <w:b w:val="0"/>
        </w:rPr>
        <w:t>rafforza</w:t>
      </w:r>
      <w:r w:rsidR="00C12B44">
        <w:rPr>
          <w:rStyle w:val="Enfasigrassetto"/>
          <w:rFonts w:ascii="Times New Roman" w:hAnsi="Times New Roman" w:cs="Times New Roman"/>
          <w:b w:val="0"/>
        </w:rPr>
        <w:t>ndo,</w:t>
      </w:r>
      <w:r w:rsidR="00525890" w:rsidRPr="00525890">
        <w:rPr>
          <w:rStyle w:val="Enfasigrassetto"/>
          <w:rFonts w:ascii="Times New Roman" w:hAnsi="Times New Roman" w:cs="Times New Roman"/>
          <w:b w:val="0"/>
        </w:rPr>
        <w:t xml:space="preserve"> mediante un ulteriore impegno</w:t>
      </w:r>
      <w:r w:rsidR="00C12B44">
        <w:rPr>
          <w:rStyle w:val="Enfasigrassetto"/>
          <w:rFonts w:ascii="Times New Roman" w:hAnsi="Times New Roman" w:cs="Times New Roman"/>
          <w:b w:val="0"/>
        </w:rPr>
        <w:t>,</w:t>
      </w:r>
      <w:r w:rsidR="00525890" w:rsidRPr="00525890">
        <w:rPr>
          <w:rStyle w:val="Enfasigrassetto"/>
          <w:rFonts w:ascii="Times New Roman" w:hAnsi="Times New Roman" w:cs="Times New Roman"/>
          <w:b w:val="0"/>
        </w:rPr>
        <w:t xml:space="preserve"> il sistema di garanzie </w:t>
      </w:r>
      <w:r w:rsidR="00C12B44">
        <w:rPr>
          <w:rStyle w:val="Enfasigrassetto"/>
          <w:rFonts w:ascii="Times New Roman" w:hAnsi="Times New Roman" w:cs="Times New Roman"/>
          <w:b w:val="0"/>
        </w:rPr>
        <w:t>predisposto dal legislatore.</w:t>
      </w:r>
    </w:p>
    <w:p w:rsidR="00736141" w:rsidRPr="00D615DE" w:rsidRDefault="00525890"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 xml:space="preserve">Ad ogni modo la mancata presentazione in sede di offerta dell’impegno a rilasciare la garanzia definitiva comporta l’esclusione del concorrente dalla gara, rientrando tale prescrizione tra le cause tassative di esclusione previste dall’art. 46 comma 1-bis del Codice. </w:t>
      </w:r>
    </w:p>
    <w:p w:rsidR="005818BA" w:rsidRDefault="008F43FA" w:rsidP="005818BA">
      <w:pPr>
        <w:pStyle w:val="Nessunaspaziatura"/>
        <w:numPr>
          <w:ilvl w:val="0"/>
          <w:numId w:val="8"/>
        </w:numPr>
        <w:spacing w:line="360" w:lineRule="auto"/>
        <w:ind w:left="0" w:hanging="284"/>
        <w:jc w:val="both"/>
        <w:rPr>
          <w:rStyle w:val="Enfasigrassetto"/>
          <w:rFonts w:ascii="Times New Roman" w:hAnsi="Times New Roman" w:cs="Times New Roman"/>
        </w:rPr>
      </w:pPr>
      <w:r w:rsidRPr="00D615DE">
        <w:rPr>
          <w:rStyle w:val="Enfasigrassetto"/>
          <w:rFonts w:ascii="Times New Roman" w:hAnsi="Times New Roman" w:cs="Times New Roman"/>
        </w:rPr>
        <w:t>LA GIURISPRUDENZA</w:t>
      </w:r>
    </w:p>
    <w:p w:rsidR="005818BA" w:rsidRPr="005818BA" w:rsidRDefault="005818BA" w:rsidP="00483477">
      <w:pPr>
        <w:pStyle w:val="Nessunaspaziatura"/>
        <w:numPr>
          <w:ilvl w:val="0"/>
          <w:numId w:val="12"/>
        </w:numPr>
        <w:spacing w:line="360" w:lineRule="auto"/>
        <w:ind w:left="0" w:hanging="284"/>
        <w:jc w:val="both"/>
        <w:rPr>
          <w:rStyle w:val="Enfasigrassetto"/>
          <w:rFonts w:ascii="Times New Roman" w:hAnsi="Times New Roman" w:cs="Times New Roman"/>
        </w:rPr>
      </w:pPr>
      <w:r w:rsidRPr="005818BA">
        <w:rPr>
          <w:rStyle w:val="Enfasigrassetto"/>
          <w:rFonts w:ascii="Times New Roman" w:hAnsi="Times New Roman" w:cs="Times New Roman"/>
        </w:rPr>
        <w:t>Natura e funzione</w:t>
      </w:r>
    </w:p>
    <w:p w:rsidR="005818BA"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 xml:space="preserve">Il comma 1 dell’art. 75 del </w:t>
      </w:r>
      <w:proofErr w:type="spellStart"/>
      <w:r w:rsidRPr="0041313F">
        <w:rPr>
          <w:rStyle w:val="Enfasigrassetto"/>
          <w:rFonts w:ascii="Times New Roman" w:hAnsi="Times New Roman" w:cs="Times New Roman"/>
          <w:b w:val="0"/>
        </w:rPr>
        <w:t>D.Lgs.</w:t>
      </w:r>
      <w:proofErr w:type="spellEnd"/>
      <w:r w:rsidRPr="0041313F">
        <w:rPr>
          <w:rStyle w:val="Enfasigrassetto"/>
          <w:rFonts w:ascii="Times New Roman" w:hAnsi="Times New Roman" w:cs="Times New Roman"/>
          <w:b w:val="0"/>
        </w:rPr>
        <w:t xml:space="preserve"> 163/2006 stabilisce che la garanzia debba essere fissata nella misura</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del 2% del prezzo base in</w:t>
      </w:r>
      <w:r w:rsidR="00C83B13">
        <w:rPr>
          <w:rStyle w:val="Enfasigrassetto"/>
          <w:rFonts w:ascii="Times New Roman" w:hAnsi="Times New Roman" w:cs="Times New Roman"/>
          <w:b w:val="0"/>
        </w:rPr>
        <w:t xml:space="preserve">dicato nel bando di gara o nella lettera di </w:t>
      </w:r>
      <w:r w:rsidRPr="0041313F">
        <w:rPr>
          <w:rStyle w:val="Enfasigrassetto"/>
          <w:rFonts w:ascii="Times New Roman" w:hAnsi="Times New Roman" w:cs="Times New Roman"/>
          <w:b w:val="0"/>
        </w:rPr>
        <w:t xml:space="preserve">invito.  </w:t>
      </w:r>
    </w:p>
    <w:p w:rsidR="005818BA"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La garanzia può essere prestata sotto forma di cauzione, oppure tramite fideiussione bancaria,</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assicurativa o rilasciata dagli intermediari finanziari. Il Codice distingue, all’uopo, </w:t>
      </w:r>
      <w:r w:rsidR="00C83B13">
        <w:rPr>
          <w:rStyle w:val="Enfasigrassetto"/>
          <w:rFonts w:ascii="Times New Roman" w:hAnsi="Times New Roman" w:cs="Times New Roman"/>
          <w:b w:val="0"/>
        </w:rPr>
        <w:t>tra garanzie reali e personali: p</w:t>
      </w:r>
      <w:r w:rsidRPr="0041313F">
        <w:rPr>
          <w:rStyle w:val="Enfasigrassetto"/>
          <w:rFonts w:ascii="Times New Roman" w:hAnsi="Times New Roman" w:cs="Times New Roman"/>
          <w:b w:val="0"/>
        </w:rPr>
        <w:t>er garanzie reali si intendono il pagamento in contanti o in titoli del debito pubblico depositati a titolo di pegno a favore dell’Ente appaltante presso la tesoreria provinciale o istituti di</w:t>
      </w:r>
      <w:r>
        <w:rPr>
          <w:rStyle w:val="Enfasigrassetto"/>
          <w:rFonts w:ascii="Times New Roman" w:hAnsi="Times New Roman" w:cs="Times New Roman"/>
          <w:b w:val="0"/>
        </w:rPr>
        <w:t xml:space="preserve"> credito autorizzati</w:t>
      </w:r>
      <w:r w:rsidR="007E26AE">
        <w:rPr>
          <w:rStyle w:val="Rimandonotaapidipagina"/>
          <w:rFonts w:ascii="Times New Roman" w:hAnsi="Times New Roman" w:cs="Times New Roman"/>
          <w:bCs/>
        </w:rPr>
        <w:footnoteReference w:id="2"/>
      </w:r>
      <w:r w:rsidR="00C83B13">
        <w:rPr>
          <w:rStyle w:val="Enfasigrassetto"/>
          <w:rFonts w:ascii="Times New Roman" w:hAnsi="Times New Roman" w:cs="Times New Roman"/>
          <w:b w:val="0"/>
        </w:rPr>
        <w:t>; r</w:t>
      </w:r>
      <w:r w:rsidRPr="005818BA">
        <w:rPr>
          <w:rStyle w:val="Enfasigrassetto"/>
          <w:rFonts w:ascii="Times New Roman" w:hAnsi="Times New Roman" w:cs="Times New Roman"/>
          <w:b w:val="0"/>
        </w:rPr>
        <w:t>iguardo alle garanzie personali, quella prestata tramite fideiussione bancaria è stata sem</w:t>
      </w:r>
      <w:r w:rsidR="007E26AE">
        <w:rPr>
          <w:rStyle w:val="Enfasigrassetto"/>
          <w:rFonts w:ascii="Times New Roman" w:hAnsi="Times New Roman" w:cs="Times New Roman"/>
          <w:b w:val="0"/>
        </w:rPr>
        <w:t>pre assimilata a quella resa</w:t>
      </w:r>
      <w:r w:rsidRPr="005818BA">
        <w:rPr>
          <w:rStyle w:val="Enfasigrassetto"/>
          <w:rFonts w:ascii="Times New Roman" w:hAnsi="Times New Roman" w:cs="Times New Roman"/>
          <w:b w:val="0"/>
        </w:rPr>
        <w:t xml:space="preserve"> con polizza assicurativa, benché i due contratti siano ben diversi. Inoltre, con l’art. 345, comma 50, legge n. 388/2000, è stata concessa la possibilità di rilasciare fideiussioni per le procedure a evidenza pubblica anche agli intermediari finanziari (esclusi dalla precedente normativa), equiparandoli di diritto agli istituti di credito e alle compagnie assicurative.</w:t>
      </w:r>
      <w:r w:rsidR="007E26AE">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Si evidenzia che il comma 3 dell’art. 75 del Codice  (come modificato dall'articolo 28, comma 1, del </w:t>
      </w:r>
      <w:proofErr w:type="spellStart"/>
      <w:r w:rsidRPr="0041313F">
        <w:rPr>
          <w:rStyle w:val="Enfasigrassetto"/>
          <w:rFonts w:ascii="Times New Roman" w:hAnsi="Times New Roman" w:cs="Times New Roman"/>
          <w:b w:val="0"/>
        </w:rPr>
        <w:t>D.Lgs.</w:t>
      </w:r>
      <w:proofErr w:type="spellEnd"/>
      <w:r w:rsidRPr="0041313F">
        <w:rPr>
          <w:rStyle w:val="Enfasigrassetto"/>
          <w:rFonts w:ascii="Times New Roman" w:hAnsi="Times New Roman" w:cs="Times New Roman"/>
          <w:b w:val="0"/>
        </w:rPr>
        <w:t xml:space="preserve"> 19 settemb</w:t>
      </w:r>
      <w:r w:rsidR="00C83B13">
        <w:rPr>
          <w:rStyle w:val="Enfasigrassetto"/>
          <w:rFonts w:ascii="Times New Roman" w:hAnsi="Times New Roman" w:cs="Times New Roman"/>
          <w:b w:val="0"/>
        </w:rPr>
        <w:t xml:space="preserve">re 2012, n. 169), ha precisato </w:t>
      </w:r>
      <w:r w:rsidRPr="0041313F">
        <w:rPr>
          <w:rStyle w:val="Enfasigrassetto"/>
          <w:rFonts w:ascii="Times New Roman" w:hAnsi="Times New Roman" w:cs="Times New Roman"/>
          <w:b w:val="0"/>
        </w:rPr>
        <w:t>che la fidei</w:t>
      </w:r>
      <w:r w:rsidR="00C83B13">
        <w:rPr>
          <w:rStyle w:val="Enfasigrassetto"/>
          <w:rFonts w:ascii="Times New Roman" w:hAnsi="Times New Roman" w:cs="Times New Roman"/>
          <w:b w:val="0"/>
        </w:rPr>
        <w:t xml:space="preserve">ussione potrà essere bancaria, </w:t>
      </w:r>
      <w:r w:rsidRPr="0041313F">
        <w:rPr>
          <w:rStyle w:val="Enfasigrassetto"/>
          <w:rFonts w:ascii="Times New Roman" w:hAnsi="Times New Roman" w:cs="Times New Roman"/>
          <w:b w:val="0"/>
        </w:rPr>
        <w:t>assicurativa, oppure rilasciata dagli intermediari iscritti nell'apposito albo “</w:t>
      </w:r>
      <w:r w:rsidRPr="00C83B13">
        <w:rPr>
          <w:rStyle w:val="Enfasigrassetto"/>
          <w:rFonts w:ascii="Times New Roman" w:hAnsi="Times New Roman" w:cs="Times New Roman"/>
          <w:b w:val="0"/>
          <w:i/>
        </w:rPr>
        <w:t xml:space="preserve">che svolgono in via esclusiva o prevalente </w:t>
      </w:r>
      <w:proofErr w:type="spellStart"/>
      <w:r w:rsidRPr="00C83B13">
        <w:rPr>
          <w:rStyle w:val="Enfasigrassetto"/>
          <w:rFonts w:ascii="Times New Roman" w:hAnsi="Times New Roman" w:cs="Times New Roman"/>
          <w:b w:val="0"/>
          <w:i/>
        </w:rPr>
        <w:t>attivita'</w:t>
      </w:r>
      <w:proofErr w:type="spellEnd"/>
      <w:r w:rsidRPr="00C83B13">
        <w:rPr>
          <w:rStyle w:val="Enfasigrassetto"/>
          <w:rFonts w:ascii="Times New Roman" w:hAnsi="Times New Roman" w:cs="Times New Roman"/>
          <w:b w:val="0"/>
          <w:i/>
        </w:rPr>
        <w:t xml:space="preserve"> di rilascio di garanzie e che sono sottoposti a revisione contabile da parte di una </w:t>
      </w:r>
      <w:proofErr w:type="spellStart"/>
      <w:r w:rsidRPr="00C83B13">
        <w:rPr>
          <w:rStyle w:val="Enfasigrassetto"/>
          <w:rFonts w:ascii="Times New Roman" w:hAnsi="Times New Roman" w:cs="Times New Roman"/>
          <w:b w:val="0"/>
          <w:i/>
        </w:rPr>
        <w:t>societa'</w:t>
      </w:r>
      <w:proofErr w:type="spellEnd"/>
      <w:r w:rsidRPr="00C83B13">
        <w:rPr>
          <w:rStyle w:val="Enfasigrassetto"/>
          <w:rFonts w:ascii="Times New Roman" w:hAnsi="Times New Roman" w:cs="Times New Roman"/>
          <w:b w:val="0"/>
          <w:i/>
        </w:rPr>
        <w:t xml:space="preserve"> di revisione iscritta nell'albo previsto dall'articolo 161 del decreto legislativo 24 febbraio 1998, n. 58”.</w:t>
      </w:r>
    </w:p>
    <w:p w:rsidR="007F2C1C"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L’art. 75, comma 6 del Codice individua la funz</w:t>
      </w:r>
      <w:r w:rsidR="007F2C1C">
        <w:rPr>
          <w:rStyle w:val="Enfasigrassetto"/>
          <w:rFonts w:ascii="Times New Roman" w:hAnsi="Times New Roman" w:cs="Times New Roman"/>
          <w:b w:val="0"/>
        </w:rPr>
        <w:t xml:space="preserve">ione della garanzia provvisoria nella tutela della stazione appaltante in caso di </w:t>
      </w:r>
      <w:r w:rsidRPr="0041313F">
        <w:rPr>
          <w:rStyle w:val="Enfasigrassetto"/>
          <w:rFonts w:ascii="Times New Roman" w:hAnsi="Times New Roman" w:cs="Times New Roman"/>
          <w:b w:val="0"/>
        </w:rPr>
        <w:t xml:space="preserve">mancata sottoscrizione del contratto </w:t>
      </w:r>
      <w:r w:rsidR="007F2C1C">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per fatto dell’affidatario». </w:t>
      </w:r>
    </w:p>
    <w:p w:rsidR="005818BA"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La disposizione</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riproduce in parte il comma 1 dell’art. 30, Legge n. 109/1994 il quale, oltre a tale locuzione,</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prevedeva anche l’incameramento della cauzione “per volontà dell’aggiudicatario”.</w:t>
      </w:r>
      <w:r w:rsidR="007F2C1C">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Sulla portata </w:t>
      </w:r>
      <w:r w:rsidRPr="0041313F">
        <w:rPr>
          <w:rStyle w:val="Enfasigrassetto"/>
          <w:rFonts w:ascii="Times New Roman" w:hAnsi="Times New Roman" w:cs="Times New Roman"/>
          <w:b w:val="0"/>
        </w:rPr>
        <w:lastRenderedPageBreak/>
        <w:t>dell’espressione “fatto dell’affidatario” vi è stato un aperto contrasto giurisprudenziale,</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in cui si fronteggiavano </w:t>
      </w:r>
      <w:r>
        <w:rPr>
          <w:rStyle w:val="Enfasigrassetto"/>
          <w:rFonts w:ascii="Times New Roman" w:hAnsi="Times New Roman" w:cs="Times New Roman"/>
          <w:b w:val="0"/>
        </w:rPr>
        <w:t xml:space="preserve">due orientamenti principali: </w:t>
      </w:r>
      <w:r w:rsidR="007F2C1C">
        <w:rPr>
          <w:rStyle w:val="Enfasigrassetto"/>
          <w:rFonts w:ascii="Times New Roman" w:hAnsi="Times New Roman" w:cs="Times New Roman"/>
          <w:b w:val="0"/>
        </w:rPr>
        <w:t>s</w:t>
      </w:r>
      <w:r w:rsidRPr="0041313F">
        <w:rPr>
          <w:rStyle w:val="Enfasigrassetto"/>
          <w:rFonts w:ascii="Times New Roman" w:hAnsi="Times New Roman" w:cs="Times New Roman"/>
          <w:b w:val="0"/>
        </w:rPr>
        <w:t>econdo il primo, sostenuto prevalentemente dai giudici di primo rado, la sanzione dell’escussione</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della cauzione provvisoria troverebbe applicazione esclusivamente in caso di accertata</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carenza dei requisiti di carattere speciale. Ciò in quanto la locuzione “</w:t>
      </w:r>
      <w:r w:rsidRPr="007F2C1C">
        <w:rPr>
          <w:rStyle w:val="Enfasigrassetto"/>
          <w:rFonts w:ascii="Times New Roman" w:hAnsi="Times New Roman" w:cs="Times New Roman"/>
          <w:b w:val="0"/>
          <w:i/>
        </w:rPr>
        <w:t>la cauzione copre la mancata sottoscrizione del contratto per fatto dell’aggiudicatario</w:t>
      </w:r>
      <w:r w:rsidRPr="0041313F">
        <w:rPr>
          <w:rStyle w:val="Enfasigrassetto"/>
          <w:rFonts w:ascii="Times New Roman" w:hAnsi="Times New Roman" w:cs="Times New Roman"/>
          <w:b w:val="0"/>
        </w:rPr>
        <w:t>” muoverebbe dall’indefettibile</w:t>
      </w:r>
      <w:r>
        <w:rPr>
          <w:rStyle w:val="Enfasigrassetto"/>
          <w:rFonts w:ascii="Times New Roman" w:hAnsi="Times New Roman" w:cs="Times New Roman"/>
          <w:b w:val="0"/>
        </w:rPr>
        <w:t xml:space="preserve"> </w:t>
      </w:r>
      <w:r w:rsidR="007F2C1C">
        <w:rPr>
          <w:rStyle w:val="Enfasigrassetto"/>
          <w:rFonts w:ascii="Times New Roman" w:hAnsi="Times New Roman" w:cs="Times New Roman"/>
          <w:b w:val="0"/>
        </w:rPr>
        <w:t xml:space="preserve">presupposto della qualità di </w:t>
      </w:r>
      <w:r w:rsidRPr="0041313F">
        <w:rPr>
          <w:rStyle w:val="Enfasigrassetto"/>
          <w:rFonts w:ascii="Times New Roman" w:hAnsi="Times New Roman" w:cs="Times New Roman"/>
          <w:b w:val="0"/>
        </w:rPr>
        <w:t>“affidatario”, che certamente non sarebbe rinvenibile nei confronti delle imprese che, in difetto di</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uno o più requisiti di ordine generale, sarebbero, per legge, escluse dalla gara e, dunque, non</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avrebbero accesso alle ulteriori fasi della procedura. Il cosiddetto “fatto dell’aggiudicatario”,</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pertanto, sarebbe quello proprio dell’impresa che, una volta definitivamente ammessa alla</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gara, sia divenuta aggiudicataria e che, successivamente, per fatto proprio, non consenta la</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stipulazione del contratto (T.A.R. Sicilia, Palermo, sez. III, 11.5.2011, n. 923; T.A.R. Sicilia,</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sez. III, 27.12.2010, n. 14395; T.A.R. Piemonte, 21.12.2009, n. 3699; T.A.R. Toscana, sez. I,</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23.9.2009, n. 1473; T.A.R. Veneto, sez. I, 13.3.2009, n. 608; T.A.R. Campania, Napoli, sez.</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VIII, 8.8.2008, n. 9943).</w:t>
      </w:r>
    </w:p>
    <w:p w:rsidR="005818BA"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Di tutt’altro avviso l’opposto indirizzo tenuto dal Supremo Consesso</w:t>
      </w:r>
      <w:r w:rsidR="007E26AE">
        <w:rPr>
          <w:rStyle w:val="Enfasigrassetto"/>
          <w:rFonts w:ascii="Times New Roman" w:hAnsi="Times New Roman" w:cs="Times New Roman"/>
          <w:b w:val="0"/>
        </w:rPr>
        <w:t xml:space="preserve"> amministrativo, </w:t>
      </w:r>
      <w:r w:rsidRPr="0041313F">
        <w:rPr>
          <w:rStyle w:val="Enfasigrassetto"/>
          <w:rFonts w:ascii="Times New Roman" w:hAnsi="Times New Roman" w:cs="Times New Roman"/>
          <w:b w:val="0"/>
        </w:rPr>
        <w:t>secondo cui l’escussione della cauzione provvisoria riguarderebbe tutte le ipotesi di</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mancata sottoscrizione del contratto per fatto dell’affidatario, intendendosi </w:t>
      </w:r>
      <w:r w:rsidR="007E26AE">
        <w:rPr>
          <w:rStyle w:val="Enfasigrassetto"/>
          <w:rFonts w:ascii="Times New Roman" w:hAnsi="Times New Roman" w:cs="Times New Roman"/>
          <w:b w:val="0"/>
        </w:rPr>
        <w:t>in tal modo</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qualunque ostacolo alla stipulazione a lui riconducibile, dunque non solo il rifiuto di stipulare,</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ma anche il difetto dei requisiti sia speciali sia generali, ex art. 38, </w:t>
      </w:r>
      <w:proofErr w:type="spellStart"/>
      <w:r w:rsidRPr="0041313F">
        <w:rPr>
          <w:rStyle w:val="Enfasigrassetto"/>
          <w:rFonts w:ascii="Times New Roman" w:hAnsi="Times New Roman" w:cs="Times New Roman"/>
          <w:b w:val="0"/>
        </w:rPr>
        <w:t>D.Lgs.</w:t>
      </w:r>
      <w:proofErr w:type="spellEnd"/>
      <w:r w:rsidRPr="0041313F">
        <w:rPr>
          <w:rStyle w:val="Enfasigrassetto"/>
          <w:rFonts w:ascii="Times New Roman" w:hAnsi="Times New Roman" w:cs="Times New Roman"/>
          <w:b w:val="0"/>
        </w:rPr>
        <w:t xml:space="preserve"> n. 163 del 2006, </w:t>
      </w:r>
      <w:r w:rsidRPr="007F2C1C">
        <w:rPr>
          <w:rStyle w:val="Enfasigrassetto"/>
          <w:rFonts w:ascii="Times New Roman" w:hAnsi="Times New Roman" w:cs="Times New Roman"/>
          <w:b w:val="0"/>
          <w:i/>
        </w:rPr>
        <w:t>“poiché la cauzione provvisoria si profila come garanzia del rispetto dell’ampio patto d’integrità cui si vincola chi partecipa a gare pubbliche</w:t>
      </w:r>
      <w:r w:rsidRPr="0041313F">
        <w:rPr>
          <w:rStyle w:val="Enfasigrassetto"/>
          <w:rFonts w:ascii="Times New Roman" w:hAnsi="Times New Roman" w:cs="Times New Roman"/>
          <w:b w:val="0"/>
        </w:rPr>
        <w:t>”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xml:space="preserve">. Stato, sez. V, 9.11.2010, n. 7963;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xml:space="preserve">. Stato, Sez. V, 6.4.2009, n. 2140;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xml:space="preserve">. Stato, Sez. IV, 20.7.2007, n. 4098; nello stesso senso anche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xml:space="preserve">. </w:t>
      </w:r>
      <w:proofErr w:type="spellStart"/>
      <w:r w:rsidRPr="0041313F">
        <w:rPr>
          <w:rStyle w:val="Enfasigrassetto"/>
          <w:rFonts w:ascii="Times New Roman" w:hAnsi="Times New Roman" w:cs="Times New Roman"/>
          <w:b w:val="0"/>
        </w:rPr>
        <w:t>giust</w:t>
      </w:r>
      <w:proofErr w:type="spellEnd"/>
      <w:r w:rsidRPr="0041313F">
        <w:rPr>
          <w:rStyle w:val="Enfasigrassetto"/>
          <w:rFonts w:ascii="Times New Roman" w:hAnsi="Times New Roman" w:cs="Times New Roman"/>
          <w:b w:val="0"/>
        </w:rPr>
        <w:t xml:space="preserve">. </w:t>
      </w:r>
      <w:proofErr w:type="spellStart"/>
      <w:r w:rsidRPr="0041313F">
        <w:rPr>
          <w:rStyle w:val="Enfasigrassetto"/>
          <w:rFonts w:ascii="Times New Roman" w:hAnsi="Times New Roman" w:cs="Times New Roman"/>
          <w:b w:val="0"/>
        </w:rPr>
        <w:t>amm</w:t>
      </w:r>
      <w:proofErr w:type="spellEnd"/>
      <w:r w:rsidRPr="0041313F">
        <w:rPr>
          <w:rStyle w:val="Enfasigrassetto"/>
          <w:rFonts w:ascii="Times New Roman" w:hAnsi="Times New Roman" w:cs="Times New Roman"/>
          <w:b w:val="0"/>
        </w:rPr>
        <w:t xml:space="preserve">. Sicilia    sez. </w:t>
      </w:r>
      <w:proofErr w:type="spellStart"/>
      <w:r w:rsidRPr="0041313F">
        <w:rPr>
          <w:rStyle w:val="Enfasigrassetto"/>
          <w:rFonts w:ascii="Times New Roman" w:hAnsi="Times New Roman" w:cs="Times New Roman"/>
          <w:b w:val="0"/>
        </w:rPr>
        <w:t>giurisd</w:t>
      </w:r>
      <w:proofErr w:type="spellEnd"/>
      <w:r w:rsidRPr="0041313F">
        <w:rPr>
          <w:rStyle w:val="Enfasigrassetto"/>
          <w:rFonts w:ascii="Times New Roman" w:hAnsi="Times New Roman" w:cs="Times New Roman"/>
          <w:b w:val="0"/>
        </w:rPr>
        <w:t>. 13/02/2012 n. 173; T.A.R. Puglia, Bari, sez. I, 3.5.2011, n. 677; T.A.R. Lazio, Roma,</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sez. III, 3.11.2010, n. 33141).</w:t>
      </w:r>
    </w:p>
    <w:p w:rsidR="005818BA" w:rsidRDefault="007E26AE" w:rsidP="005818BA">
      <w:pPr>
        <w:pStyle w:val="Nessunaspaziatura"/>
        <w:spacing w:line="360" w:lineRule="auto"/>
        <w:jc w:val="both"/>
        <w:rPr>
          <w:rStyle w:val="Enfasigrassetto"/>
          <w:rFonts w:ascii="Times New Roman" w:hAnsi="Times New Roman" w:cs="Times New Roman"/>
          <w:b w:val="0"/>
        </w:rPr>
      </w:pPr>
      <w:r>
        <w:rPr>
          <w:rStyle w:val="Enfasigrassetto"/>
          <w:rFonts w:ascii="Times New Roman" w:hAnsi="Times New Roman" w:cs="Times New Roman"/>
          <w:b w:val="0"/>
        </w:rPr>
        <w:t>A dirimere il contrasto giurisprudenziale</w:t>
      </w:r>
      <w:r w:rsidR="005818BA" w:rsidRPr="0041313F">
        <w:rPr>
          <w:rStyle w:val="Enfasigrassetto"/>
          <w:rFonts w:ascii="Times New Roman" w:hAnsi="Times New Roman" w:cs="Times New Roman"/>
          <w:b w:val="0"/>
        </w:rPr>
        <w:t xml:space="preserve"> è intervenuta l’Adunanza Plenaria del Consiglio di Stato </w:t>
      </w:r>
      <w:r>
        <w:rPr>
          <w:rStyle w:val="Enfasigrassetto"/>
          <w:rFonts w:ascii="Times New Roman" w:hAnsi="Times New Roman" w:cs="Times New Roman"/>
          <w:b w:val="0"/>
        </w:rPr>
        <w:t>(</w:t>
      </w:r>
      <w:r w:rsidR="005818BA" w:rsidRPr="0041313F">
        <w:rPr>
          <w:rStyle w:val="Enfasigrassetto"/>
          <w:rFonts w:ascii="Times New Roman" w:hAnsi="Times New Roman" w:cs="Times New Roman"/>
          <w:b w:val="0"/>
        </w:rPr>
        <w:t>con sentenza del 04/05/2012 n. 8</w:t>
      </w:r>
      <w:r>
        <w:rPr>
          <w:rStyle w:val="Enfasigrassetto"/>
          <w:rFonts w:ascii="Times New Roman" w:hAnsi="Times New Roman" w:cs="Times New Roman"/>
          <w:b w:val="0"/>
        </w:rPr>
        <w:t>)</w:t>
      </w:r>
      <w:r w:rsidR="005818BA" w:rsidRPr="0041313F">
        <w:rPr>
          <w:rStyle w:val="Enfasigrassetto"/>
          <w:rFonts w:ascii="Times New Roman" w:hAnsi="Times New Roman" w:cs="Times New Roman"/>
          <w:b w:val="0"/>
        </w:rPr>
        <w:t xml:space="preserve"> la quale, in aderenza al secondo orientamento, ha stabilito che  la possibilità di incamerare </w:t>
      </w:r>
      <w:r w:rsidR="009E0B78">
        <w:rPr>
          <w:rStyle w:val="Enfasigrassetto"/>
          <w:rFonts w:ascii="Times New Roman" w:hAnsi="Times New Roman" w:cs="Times New Roman"/>
          <w:b w:val="0"/>
        </w:rPr>
        <w:t>la cauzione provvisoria riguardi</w:t>
      </w:r>
      <w:r w:rsidR="005818BA" w:rsidRPr="0041313F">
        <w:rPr>
          <w:rStyle w:val="Enfasigrassetto"/>
          <w:rFonts w:ascii="Times New Roman" w:hAnsi="Times New Roman" w:cs="Times New Roman"/>
          <w:b w:val="0"/>
        </w:rPr>
        <w:t xml:space="preserve"> tutte le ipotesi di mancata sottoscrizione del contratto</w:t>
      </w:r>
      <w:r w:rsidR="007F2C1C">
        <w:rPr>
          <w:rStyle w:val="Enfasigrassetto"/>
          <w:rFonts w:ascii="Times New Roman" w:hAnsi="Times New Roman" w:cs="Times New Roman"/>
          <w:b w:val="0"/>
        </w:rPr>
        <w:t xml:space="preserve">, </w:t>
      </w:r>
      <w:r w:rsidR="005818BA" w:rsidRPr="0041313F">
        <w:rPr>
          <w:rStyle w:val="Enfasigrassetto"/>
          <w:rFonts w:ascii="Times New Roman" w:hAnsi="Times New Roman" w:cs="Times New Roman"/>
          <w:b w:val="0"/>
        </w:rPr>
        <w:t>intendendosi per fatto dell'affidatario qualunque ostacolo alla stipulazione a lui riconducibile, dunque non solo il rifiuto di stipulare o il difetto di requisiti speciali, ma anche il difetto di requisiti generali di cui all'art. 38 del D.L.gs. 163/2006 (in senso conforme anche T.A.R.  Lecce (Puglia)  sez. I 20/09/2012 n. 1567;  T.A.R.  Roma (Lazio)  sez. III 08/11/2012 n. 9166).</w:t>
      </w:r>
      <w:r w:rsidR="005818BA">
        <w:rPr>
          <w:rStyle w:val="Enfasigrassetto"/>
          <w:rFonts w:ascii="Times New Roman" w:hAnsi="Times New Roman" w:cs="Times New Roman"/>
          <w:b w:val="0"/>
        </w:rPr>
        <w:t xml:space="preserve"> </w:t>
      </w:r>
    </w:p>
    <w:p w:rsidR="00B77E8E" w:rsidRPr="00B77E8E"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Parte della dottrina configura la cauzione provvisoria come caparra penitenziale ex art. 1386 cod. civ., per cui l’operatore economico che si rifiutasse di stipulare il contratto perderebbe soltanto la caparra, senza che l’Amministrazione possa pretendere il pagamento di eventuali maggiori danni. Tale orientamento è stato aspramente criticato e superato dalla dottrina e dalla giurisprudenza maggioritaria (Cassazione civile sez. un., 4 febbraio 2009, n. 2634; T.A.R. Roma Lazio sez. I, 19 marzo 2010 n. 4321; T.A.R. Lazio Roma, sez. III, 15.1.2010, n. 280; Consiglio Stato sez. VI, 11 agosto 2009 n. 4914; T.A.R. Sardegna Cagliari, sez. I, 16</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ottobre 2006, n. 2201; Consiglio Stato, sez. VI, 03 marzo 2004, n. 1058; C. Conti reg. Puglia, sez. </w:t>
      </w:r>
      <w:proofErr w:type="spellStart"/>
      <w:r w:rsidRPr="0041313F">
        <w:rPr>
          <w:rStyle w:val="Enfasigrassetto"/>
          <w:rFonts w:ascii="Times New Roman" w:hAnsi="Times New Roman" w:cs="Times New Roman"/>
          <w:b w:val="0"/>
        </w:rPr>
        <w:t>giurisd</w:t>
      </w:r>
      <w:proofErr w:type="spellEnd"/>
      <w:r w:rsidRPr="0041313F">
        <w:rPr>
          <w:rStyle w:val="Enfasigrassetto"/>
          <w:rFonts w:ascii="Times New Roman" w:hAnsi="Times New Roman" w:cs="Times New Roman"/>
          <w:b w:val="0"/>
        </w:rPr>
        <w:t xml:space="preserve">., 24 febbraio 2006, n. 196) che riconducono la cauzione provvisoria alla figura della caparra confirmatoria di </w:t>
      </w:r>
      <w:r w:rsidRPr="0041313F">
        <w:rPr>
          <w:rStyle w:val="Enfasigrassetto"/>
          <w:rFonts w:ascii="Times New Roman" w:hAnsi="Times New Roman" w:cs="Times New Roman"/>
          <w:b w:val="0"/>
        </w:rPr>
        <w:lastRenderedPageBreak/>
        <w:t>cui all’art. 1385 cod. civ. Ciò per due ordini di motivi</w:t>
      </w:r>
      <w:r w:rsidR="009E0B78">
        <w:rPr>
          <w:rStyle w:val="Enfasigrassetto"/>
          <w:rFonts w:ascii="Times New Roman" w:hAnsi="Times New Roman" w:cs="Times New Roman"/>
          <w:b w:val="0"/>
        </w:rPr>
        <w:t>: da un lato, perché l’avversa tesi non avrebbe</w:t>
      </w:r>
      <w:r w:rsidRPr="0041313F">
        <w:rPr>
          <w:rStyle w:val="Enfasigrassetto"/>
          <w:rFonts w:ascii="Times New Roman" w:hAnsi="Times New Roman" w:cs="Times New Roman"/>
          <w:b w:val="0"/>
        </w:rPr>
        <w:t xml:space="preserve"> tenuto conto del fatto che la norma ha ampliato la sfera di operatività dell’istituto, prevedendo che la mancata sottoscrizione del contratto fosse imputabile anche per fatto dell’aggiudicatario; dall’altro, la natura </w:t>
      </w:r>
      <w:r w:rsidR="009E0B78">
        <w:rPr>
          <w:rStyle w:val="Enfasigrassetto"/>
          <w:rFonts w:ascii="Times New Roman" w:hAnsi="Times New Roman" w:cs="Times New Roman"/>
          <w:b w:val="0"/>
        </w:rPr>
        <w:t>di caparra confirmatoria risulterebbe</w:t>
      </w:r>
      <w:r w:rsidRPr="0041313F">
        <w:rPr>
          <w:rStyle w:val="Enfasigrassetto"/>
          <w:rFonts w:ascii="Times New Roman" w:hAnsi="Times New Roman" w:cs="Times New Roman"/>
          <w:b w:val="0"/>
        </w:rPr>
        <w:t xml:space="preserve"> più coerente con l’esigenza di non vulnerare l’interesse dell’Amministrazione a pretendere il maggior danno patito (ad esempio in relazione alle spese affrontate per rinnovare</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la gara di appalto).</w:t>
      </w:r>
      <w:r w:rsidR="004062E6">
        <w:rPr>
          <w:rStyle w:val="Enfasigrassetto"/>
          <w:rFonts w:ascii="Times New Roman" w:hAnsi="Times New Roman" w:cs="Times New Roman"/>
          <w:b w:val="0"/>
        </w:rPr>
        <w:t xml:space="preserve"> </w:t>
      </w:r>
      <w:r w:rsidR="00B77E8E" w:rsidRPr="00B77E8E">
        <w:rPr>
          <w:rStyle w:val="Enfasigrassetto"/>
          <w:rFonts w:ascii="Times New Roman" w:hAnsi="Times New Roman" w:cs="Times New Roman"/>
          <w:b w:val="0"/>
        </w:rPr>
        <w:t>Tale indirizzo è stato confermato anche da una recente sentenza del Supremo Co</w:t>
      </w:r>
      <w:r w:rsidR="00B77E8E">
        <w:rPr>
          <w:rStyle w:val="Enfasigrassetto"/>
          <w:rFonts w:ascii="Times New Roman" w:hAnsi="Times New Roman" w:cs="Times New Roman"/>
          <w:b w:val="0"/>
        </w:rPr>
        <w:t>nsesso amministrativo secondo la</w:t>
      </w:r>
      <w:r w:rsidR="00B77E8E" w:rsidRPr="00B77E8E">
        <w:rPr>
          <w:rStyle w:val="Enfasigrassetto"/>
          <w:rFonts w:ascii="Times New Roman" w:hAnsi="Times New Roman" w:cs="Times New Roman"/>
          <w:b w:val="0"/>
        </w:rPr>
        <w:t xml:space="preserve"> quale </w:t>
      </w:r>
      <w:r w:rsidR="00B77E8E" w:rsidRPr="00B77E8E">
        <w:rPr>
          <w:rStyle w:val="Enfasigrassetto"/>
          <w:rFonts w:ascii="Times New Roman" w:hAnsi="Times New Roman" w:cs="Times New Roman"/>
          <w:b w:val="0"/>
          <w:i/>
        </w:rPr>
        <w:t>“</w:t>
      </w:r>
      <w:r w:rsidR="00B77E8E" w:rsidRPr="00B77E8E">
        <w:rPr>
          <w:rFonts w:ascii="Times New Roman" w:hAnsi="Times New Roman" w:cs="Times New Roman"/>
          <w:i/>
        </w:rPr>
        <w:t>in tema di appalto di lavori pubblici, la</w:t>
      </w:r>
      <w:r w:rsidR="00B77E8E" w:rsidRPr="00B77E8E">
        <w:rPr>
          <w:rStyle w:val="apple-converted-space"/>
          <w:rFonts w:ascii="Times New Roman" w:hAnsi="Times New Roman" w:cs="Times New Roman"/>
          <w:i/>
        </w:rPr>
        <w:t> </w:t>
      </w:r>
      <w:r w:rsidR="00B77E8E" w:rsidRPr="00B77E8E">
        <w:rPr>
          <w:rStyle w:val="resultlisthighlightterm"/>
          <w:rFonts w:ascii="Times New Roman" w:hAnsi="Times New Roman" w:cs="Times New Roman"/>
          <w:bCs/>
          <w:i/>
          <w:bdr w:val="none" w:sz="0" w:space="0" w:color="auto" w:frame="1"/>
        </w:rPr>
        <w:t>cauzione</w:t>
      </w:r>
      <w:r w:rsidR="00B77E8E" w:rsidRPr="00B77E8E">
        <w:rPr>
          <w:rStyle w:val="apple-converted-space"/>
          <w:rFonts w:ascii="Times New Roman" w:hAnsi="Times New Roman" w:cs="Times New Roman"/>
          <w:i/>
        </w:rPr>
        <w:t> </w:t>
      </w:r>
      <w:r w:rsidR="00B77E8E" w:rsidRPr="00B77E8E">
        <w:rPr>
          <w:rFonts w:ascii="Times New Roman" w:hAnsi="Times New Roman" w:cs="Times New Roman"/>
          <w:i/>
        </w:rPr>
        <w:t>provvisoria, prevista dall'art. 30 l. n. 109 del 1994 (al pari della garanzia fideiussoria da cui può essere sostituita), oltre a svolgere la funzione di garantire la serietà dell'offerta, con la conseguenza che ove l'aggiudicatario non stipuli il contratto decade dall'aggiudicazione e la stessa viene incamerata dall'appaltante, si configura come caparra confirmatoria, e non come clausola penale o come pegno irregolare. Conseguentemente, diversamente dalla clausola penale, dove il danno sopportato dal creditore viene risarcito solo con la promessa di una prestazione di una somma di denaro o cose fungibili, e dal pegno irregolare, dove il danno è risarcito con l'assegnazione, sino a concorrenza, del pegno ad opera del giudice, al contraente beneficiario è consentito, non solo di incamerare immediatamente le somme oggetto della</w:t>
      </w:r>
      <w:r w:rsidR="00B77E8E" w:rsidRPr="00B77E8E">
        <w:rPr>
          <w:rStyle w:val="apple-converted-space"/>
          <w:rFonts w:ascii="Times New Roman" w:hAnsi="Times New Roman" w:cs="Times New Roman"/>
          <w:i/>
        </w:rPr>
        <w:t> </w:t>
      </w:r>
      <w:r w:rsidR="00B77E8E" w:rsidRPr="00B77E8E">
        <w:rPr>
          <w:rStyle w:val="resultlisthighlightterm"/>
          <w:rFonts w:ascii="Times New Roman" w:hAnsi="Times New Roman" w:cs="Times New Roman"/>
          <w:bCs/>
          <w:i/>
          <w:bdr w:val="none" w:sz="0" w:space="0" w:color="auto" w:frame="1"/>
        </w:rPr>
        <w:t>cauzione</w:t>
      </w:r>
      <w:r w:rsidR="00B77E8E" w:rsidRPr="00B77E8E">
        <w:rPr>
          <w:rFonts w:ascii="Times New Roman" w:hAnsi="Times New Roman" w:cs="Times New Roman"/>
          <w:i/>
        </w:rPr>
        <w:t>, ma anche di richiedere il risarcimento del maggior danno da inadempimento</w:t>
      </w:r>
      <w:r w:rsidR="00B77E8E" w:rsidRPr="00B77E8E">
        <w:rPr>
          <w:rFonts w:ascii="Times New Roman" w:hAnsi="Times New Roman" w:cs="Times New Roman"/>
        </w:rPr>
        <w:t xml:space="preserve">” </w:t>
      </w:r>
      <w:r w:rsidR="00B77E8E">
        <w:rPr>
          <w:rFonts w:ascii="Times New Roman" w:hAnsi="Times New Roman" w:cs="Times New Roman"/>
        </w:rPr>
        <w:t>(</w:t>
      </w:r>
      <w:r w:rsidR="00B77E8E" w:rsidRPr="00B77E8E">
        <w:rPr>
          <w:rFonts w:ascii="Times New Roman" w:eastAsia="Times New Roman" w:hAnsi="Times New Roman" w:cs="Times New Roman"/>
          <w:lang w:eastAsia="it-IT"/>
        </w:rPr>
        <w:t xml:space="preserve">Consiglio di Stato  sez. V  15/04/2013 n. 2061; </w:t>
      </w:r>
      <w:proofErr w:type="spellStart"/>
      <w:r w:rsidR="00B77E8E" w:rsidRPr="00B77E8E">
        <w:rPr>
          <w:rFonts w:ascii="Times New Roman" w:hAnsi="Times New Roman" w:cs="Times New Roman"/>
        </w:rPr>
        <w:t>Cass</w:t>
      </w:r>
      <w:proofErr w:type="spellEnd"/>
      <w:r w:rsidR="00B77E8E" w:rsidRPr="00B77E8E">
        <w:rPr>
          <w:rFonts w:ascii="Times New Roman" w:hAnsi="Times New Roman" w:cs="Times New Roman"/>
        </w:rPr>
        <w:t>., Sez. Un., 4 febbraio 2009, n. 2634).</w:t>
      </w:r>
      <w:r w:rsidR="00B77E8E" w:rsidRPr="00B77E8E">
        <w:rPr>
          <w:rStyle w:val="Enfasigrassetto"/>
          <w:rFonts w:ascii="Times New Roman" w:hAnsi="Times New Roman" w:cs="Times New Roman"/>
          <w:b w:val="0"/>
        </w:rPr>
        <w:t xml:space="preserve"> </w:t>
      </w:r>
    </w:p>
    <w:p w:rsidR="005818BA" w:rsidRDefault="005818BA" w:rsidP="005818BA">
      <w:pPr>
        <w:pStyle w:val="Nessunaspaziatura"/>
        <w:spacing w:line="360" w:lineRule="auto"/>
        <w:jc w:val="both"/>
        <w:rPr>
          <w:rStyle w:val="Enfasigrassetto"/>
          <w:rFonts w:ascii="Times New Roman" w:hAnsi="Times New Roman" w:cs="Times New Roman"/>
          <w:b w:val="0"/>
        </w:rPr>
      </w:pPr>
      <w:r w:rsidRPr="00B77E8E">
        <w:rPr>
          <w:rStyle w:val="Enfasigrassetto"/>
          <w:rFonts w:ascii="Times New Roman" w:hAnsi="Times New Roman" w:cs="Times New Roman"/>
          <w:b w:val="0"/>
        </w:rPr>
        <w:t>Una parte della giurisprudenza amministrativa, tuttavia, si è discostata da tali interpretazioni affermando, invece, ch</w:t>
      </w:r>
      <w:r w:rsidR="009E0B78">
        <w:rPr>
          <w:rStyle w:val="Enfasigrassetto"/>
          <w:rFonts w:ascii="Times New Roman" w:hAnsi="Times New Roman" w:cs="Times New Roman"/>
          <w:b w:val="0"/>
        </w:rPr>
        <w:t>e la cauzione provvisoria svolga</w:t>
      </w:r>
      <w:r w:rsidRPr="00B77E8E">
        <w:rPr>
          <w:rStyle w:val="Enfasigrassetto"/>
          <w:rFonts w:ascii="Times New Roman" w:hAnsi="Times New Roman" w:cs="Times New Roman"/>
          <w:b w:val="0"/>
        </w:rPr>
        <w:t xml:space="preserve"> la funzione, non di caparra confirmatoria, ma di una vera e propria clausola penale, determinando in questo modo la liquidazione preventiva </w:t>
      </w:r>
      <w:r w:rsidRPr="0041313F">
        <w:rPr>
          <w:rStyle w:val="Enfasigrassetto"/>
          <w:rFonts w:ascii="Times New Roman" w:hAnsi="Times New Roman" w:cs="Times New Roman"/>
          <w:b w:val="0"/>
        </w:rPr>
        <w:t>e forfettaria del danno subito dall’amministrazione in conseguenza dell’accertato inadempimento dell’obbligo di stipulare il</w:t>
      </w:r>
      <w:r w:rsidR="004062E6">
        <w:rPr>
          <w:rStyle w:val="Enfasigrassetto"/>
          <w:rFonts w:ascii="Times New Roman" w:hAnsi="Times New Roman" w:cs="Times New Roman"/>
          <w:b w:val="0"/>
        </w:rPr>
        <w:t xml:space="preserve"> contratto. Come per </w:t>
      </w:r>
      <w:r w:rsidR="009E0B78">
        <w:rPr>
          <w:rStyle w:val="Enfasigrassetto"/>
          <w:rFonts w:ascii="Times New Roman" w:hAnsi="Times New Roman" w:cs="Times New Roman"/>
          <w:b w:val="0"/>
        </w:rPr>
        <w:t>la caparra peniten</w:t>
      </w:r>
      <w:r w:rsidRPr="0041313F">
        <w:rPr>
          <w:rStyle w:val="Enfasigrassetto"/>
          <w:rFonts w:ascii="Times New Roman" w:hAnsi="Times New Roman" w:cs="Times New Roman"/>
          <w:b w:val="0"/>
        </w:rPr>
        <w:t>ziale,</w:t>
      </w:r>
      <w:r w:rsidR="009E0B78">
        <w:rPr>
          <w:rStyle w:val="Enfasigrassetto"/>
          <w:rFonts w:ascii="Times New Roman" w:hAnsi="Times New Roman" w:cs="Times New Roman"/>
          <w:b w:val="0"/>
        </w:rPr>
        <w:t xml:space="preserve"> </w:t>
      </w:r>
      <w:r w:rsidR="004062E6">
        <w:rPr>
          <w:rStyle w:val="Enfasigrassetto"/>
          <w:rFonts w:ascii="Times New Roman" w:hAnsi="Times New Roman" w:cs="Times New Roman"/>
          <w:b w:val="0"/>
        </w:rPr>
        <w:t xml:space="preserve">anche in questo caso </w:t>
      </w:r>
      <w:r w:rsidR="009E0B78">
        <w:rPr>
          <w:rStyle w:val="Enfasigrassetto"/>
          <w:rFonts w:ascii="Times New Roman" w:hAnsi="Times New Roman" w:cs="Times New Roman"/>
          <w:b w:val="0"/>
        </w:rPr>
        <w:t>la stazione appaltante non avrebbe</w:t>
      </w:r>
      <w:r w:rsidRPr="0041313F">
        <w:rPr>
          <w:rStyle w:val="Enfasigrassetto"/>
          <w:rFonts w:ascii="Times New Roman" w:hAnsi="Times New Roman" w:cs="Times New Roman"/>
          <w:b w:val="0"/>
        </w:rPr>
        <w:t xml:space="preserve"> alcun titolo per chiedere all’appaltatore ulteriori so</w:t>
      </w:r>
      <w:r>
        <w:rPr>
          <w:rStyle w:val="Enfasigrassetto"/>
          <w:rFonts w:ascii="Times New Roman" w:hAnsi="Times New Roman" w:cs="Times New Roman"/>
          <w:b w:val="0"/>
        </w:rPr>
        <w:t>mme rispetto a quella garantita</w:t>
      </w:r>
      <w:r>
        <w:rPr>
          <w:rStyle w:val="Rimandonotaapidipagina"/>
          <w:rFonts w:ascii="Times New Roman" w:hAnsi="Times New Roman" w:cs="Times New Roman"/>
          <w:bCs/>
        </w:rPr>
        <w:footnoteReference w:id="3"/>
      </w:r>
      <w:r w:rsidRPr="0041313F">
        <w:rPr>
          <w:rStyle w:val="Enfasigrassetto"/>
          <w:rFonts w:ascii="Times New Roman" w:hAnsi="Times New Roman" w:cs="Times New Roman"/>
          <w:b w:val="0"/>
        </w:rPr>
        <w:t>, salvo che non venga convenuto diversamente (art. 1382 comma 1 c.c.).</w:t>
      </w:r>
    </w:p>
    <w:p w:rsidR="005818BA" w:rsidRPr="005818BA" w:rsidRDefault="006762FA" w:rsidP="00483477">
      <w:pPr>
        <w:pStyle w:val="Nessunaspaziatura"/>
        <w:numPr>
          <w:ilvl w:val="0"/>
          <w:numId w:val="12"/>
        </w:numPr>
        <w:spacing w:line="360" w:lineRule="auto"/>
        <w:ind w:left="0" w:hanging="284"/>
        <w:jc w:val="both"/>
        <w:rPr>
          <w:rStyle w:val="Enfasigrassetto"/>
          <w:rFonts w:ascii="Times New Roman" w:hAnsi="Times New Roman" w:cs="Times New Roman"/>
          <w:b w:val="0"/>
        </w:rPr>
      </w:pPr>
      <w:r>
        <w:rPr>
          <w:rStyle w:val="Enfasigrassetto"/>
          <w:rFonts w:ascii="Times New Roman" w:hAnsi="Times New Roman" w:cs="Times New Roman"/>
        </w:rPr>
        <w:t>Fideiussione o</w:t>
      </w:r>
      <w:r w:rsidR="008F43FA" w:rsidRPr="00D615DE">
        <w:rPr>
          <w:rStyle w:val="Enfasigrassetto"/>
          <w:rFonts w:ascii="Times New Roman" w:hAnsi="Times New Roman" w:cs="Times New Roman"/>
        </w:rPr>
        <w:t xml:space="preserve"> contratto autonomo di garanzia</w:t>
      </w:r>
      <w:r>
        <w:rPr>
          <w:rStyle w:val="Enfasigrassetto"/>
          <w:rFonts w:ascii="Times New Roman" w:hAnsi="Times New Roman" w:cs="Times New Roman"/>
        </w:rPr>
        <w:t>?</w:t>
      </w:r>
    </w:p>
    <w:p w:rsidR="005818BA" w:rsidRPr="005818BA" w:rsidRDefault="00CC7CB9" w:rsidP="005818BA">
      <w:pPr>
        <w:pStyle w:val="Nessunaspaziatura"/>
        <w:spacing w:line="360" w:lineRule="auto"/>
        <w:jc w:val="both"/>
        <w:rPr>
          <w:rStyle w:val="Enfasigrassetto"/>
          <w:rFonts w:ascii="Times New Roman" w:hAnsi="Times New Roman" w:cs="Times New Roman"/>
          <w:b w:val="0"/>
        </w:rPr>
      </w:pPr>
      <w:r w:rsidRPr="005818BA">
        <w:rPr>
          <w:rStyle w:val="Enfasigrassetto"/>
          <w:rFonts w:ascii="Times New Roman" w:hAnsi="Times New Roman" w:cs="Times New Roman"/>
          <w:b w:val="0"/>
        </w:rPr>
        <w:t>Il comma 4 dell’art. 75, richiede che la</w:t>
      </w:r>
      <w:r w:rsidR="009B3BD9" w:rsidRPr="005818BA">
        <w:rPr>
          <w:rStyle w:val="Enfasigrassetto"/>
          <w:rFonts w:ascii="Times New Roman" w:hAnsi="Times New Roman" w:cs="Times New Roman"/>
          <w:b w:val="0"/>
        </w:rPr>
        <w:t xml:space="preserve"> </w:t>
      </w:r>
      <w:r w:rsidRPr="005818BA">
        <w:rPr>
          <w:rStyle w:val="Enfasigrassetto"/>
          <w:rFonts w:ascii="Times New Roman" w:hAnsi="Times New Roman" w:cs="Times New Roman"/>
          <w:b w:val="0"/>
        </w:rPr>
        <w:t xml:space="preserve">garanzia </w:t>
      </w:r>
      <w:r w:rsidR="00352C4C">
        <w:rPr>
          <w:rStyle w:val="Enfasigrassetto"/>
          <w:rFonts w:ascii="Times New Roman" w:hAnsi="Times New Roman" w:cs="Times New Roman"/>
          <w:b w:val="0"/>
        </w:rPr>
        <w:t xml:space="preserve">(fideiussoria) </w:t>
      </w:r>
      <w:r w:rsidRPr="005818BA">
        <w:rPr>
          <w:rStyle w:val="Enfasigrassetto"/>
          <w:rFonts w:ascii="Times New Roman" w:hAnsi="Times New Roman" w:cs="Times New Roman"/>
          <w:b w:val="0"/>
        </w:rPr>
        <w:t>debba prevedere espressamente la rinuncia al beneficio della preventiva escussione del debitore</w:t>
      </w:r>
      <w:r w:rsidR="009B3BD9" w:rsidRPr="005818BA">
        <w:rPr>
          <w:rStyle w:val="Enfasigrassetto"/>
          <w:rFonts w:ascii="Times New Roman" w:hAnsi="Times New Roman" w:cs="Times New Roman"/>
          <w:b w:val="0"/>
        </w:rPr>
        <w:t xml:space="preserve"> </w:t>
      </w:r>
      <w:r w:rsidRPr="005818BA">
        <w:rPr>
          <w:rStyle w:val="Enfasigrassetto"/>
          <w:rFonts w:ascii="Times New Roman" w:hAnsi="Times New Roman" w:cs="Times New Roman"/>
          <w:b w:val="0"/>
        </w:rPr>
        <w:t xml:space="preserve">principale e sia escutibile entro 15 giorni a semplice richiesta scritta da parte della </w:t>
      </w:r>
      <w:r w:rsidR="009E0B78">
        <w:rPr>
          <w:rStyle w:val="Enfasigrassetto"/>
          <w:rFonts w:ascii="Times New Roman" w:hAnsi="Times New Roman" w:cs="Times New Roman"/>
          <w:b w:val="0"/>
        </w:rPr>
        <w:t>stazione appaltante; l</w:t>
      </w:r>
      <w:r w:rsidRPr="005818BA">
        <w:rPr>
          <w:rStyle w:val="Enfasigrassetto"/>
          <w:rFonts w:ascii="Times New Roman" w:hAnsi="Times New Roman" w:cs="Times New Roman"/>
          <w:b w:val="0"/>
        </w:rPr>
        <w:t>a norma esige, inoltre, l’espressa rinuncia all’eccezione di cui al</w:t>
      </w:r>
      <w:r w:rsidR="005818BA" w:rsidRPr="005818BA">
        <w:rPr>
          <w:rStyle w:val="Enfasigrassetto"/>
          <w:rFonts w:ascii="Times New Roman" w:hAnsi="Times New Roman" w:cs="Times New Roman"/>
          <w:b w:val="0"/>
        </w:rPr>
        <w:t>l’art. 1957, comma 2, cod. civ. La presenza di tali elem</w:t>
      </w:r>
      <w:r w:rsidR="00352C4C">
        <w:rPr>
          <w:rStyle w:val="Enfasigrassetto"/>
          <w:rFonts w:ascii="Times New Roman" w:hAnsi="Times New Roman" w:cs="Times New Roman"/>
          <w:b w:val="0"/>
        </w:rPr>
        <w:t>enti viene ritenuta essenziale, e la loro mancanza comporta l’</w:t>
      </w:r>
      <w:r w:rsidR="005818BA" w:rsidRPr="005818BA">
        <w:rPr>
          <w:rStyle w:val="Enfasigrassetto"/>
          <w:rFonts w:ascii="Times New Roman" w:hAnsi="Times New Roman" w:cs="Times New Roman"/>
          <w:b w:val="0"/>
        </w:rPr>
        <w:t xml:space="preserve">esclusione del concorrente. Secondo l’Autorità per la Vigilanza sui contratti pubblici </w:t>
      </w:r>
      <w:r w:rsidR="005818BA" w:rsidRPr="005818BA">
        <w:rPr>
          <w:rStyle w:val="Enfasigrassetto"/>
          <w:rFonts w:ascii="Times New Roman" w:hAnsi="Times New Roman" w:cs="Times New Roman"/>
          <w:b w:val="0"/>
        </w:rPr>
        <w:lastRenderedPageBreak/>
        <w:t>di lavori, servizi e forniture, infatti, costit</w:t>
      </w:r>
      <w:r w:rsidR="00352C4C">
        <w:rPr>
          <w:rStyle w:val="Enfasigrassetto"/>
          <w:rFonts w:ascii="Times New Roman" w:hAnsi="Times New Roman" w:cs="Times New Roman"/>
          <w:b w:val="0"/>
        </w:rPr>
        <w:t xml:space="preserve">uisce causa di esclusione </w:t>
      </w:r>
      <w:r w:rsidR="00352C4C" w:rsidRPr="00352C4C">
        <w:rPr>
          <w:rStyle w:val="Enfasigrassetto"/>
          <w:rFonts w:ascii="Times New Roman" w:hAnsi="Times New Roman" w:cs="Times New Roman"/>
          <w:b w:val="0"/>
          <w:i/>
        </w:rPr>
        <w:t xml:space="preserve">“la </w:t>
      </w:r>
      <w:r w:rsidR="005818BA" w:rsidRPr="00352C4C">
        <w:rPr>
          <w:rStyle w:val="Enfasigrassetto"/>
          <w:rFonts w:ascii="Times New Roman" w:hAnsi="Times New Roman" w:cs="Times New Roman"/>
          <w:b w:val="0"/>
          <w:i/>
        </w:rPr>
        <w:t>cauzione non conforme a quanto stabilito dall’art. 75, comma 4 e, pertanto, priva della rinuncia espressa al beneficio della preventiva escussione del debitore principale, della rinuncia all’eccezione di cui all’art. 1957, comma 2, c.c., nonché priva della clausola di operatività della garanzia medesima entro quindici giorni, a semplice richiesta scritta della stazione appaltante</w:t>
      </w:r>
      <w:r w:rsidR="005818BA" w:rsidRPr="005818BA">
        <w:rPr>
          <w:rStyle w:val="Enfasigrassetto"/>
          <w:rFonts w:ascii="Times New Roman" w:hAnsi="Times New Roman" w:cs="Times New Roman"/>
          <w:b w:val="0"/>
        </w:rPr>
        <w:t>” (AVCP Determinazione n. 4 del 10.10.2012).</w:t>
      </w:r>
    </w:p>
    <w:p w:rsidR="00352C4C"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Secondo la giurisprudenza prevalente l’inserimento delle prescrizio</w:t>
      </w:r>
      <w:r w:rsidR="00B472C8">
        <w:rPr>
          <w:rStyle w:val="Enfasigrassetto"/>
          <w:rFonts w:ascii="Times New Roman" w:hAnsi="Times New Roman" w:cs="Times New Roman"/>
          <w:b w:val="0"/>
        </w:rPr>
        <w:t>ni sopra indicate qualificherebbe</w:t>
      </w:r>
      <w:r w:rsidRPr="0041313F">
        <w:rPr>
          <w:rStyle w:val="Enfasigrassetto"/>
          <w:rFonts w:ascii="Times New Roman" w:hAnsi="Times New Roman" w:cs="Times New Roman"/>
          <w:b w:val="0"/>
        </w:rPr>
        <w:t xml:space="preserve"> la fideiussione bancaria o as</w:t>
      </w:r>
      <w:r w:rsidR="00B472C8">
        <w:rPr>
          <w:rStyle w:val="Enfasigrassetto"/>
          <w:rFonts w:ascii="Times New Roman" w:hAnsi="Times New Roman" w:cs="Times New Roman"/>
          <w:b w:val="0"/>
        </w:rPr>
        <w:t>sicurativa prestata, come un contratto autonomo</w:t>
      </w:r>
      <w:r w:rsidRPr="0041313F">
        <w:rPr>
          <w:rStyle w:val="Enfasigrassetto"/>
          <w:rFonts w:ascii="Times New Roman" w:hAnsi="Times New Roman" w:cs="Times New Roman"/>
          <w:b w:val="0"/>
        </w:rPr>
        <w:t xml:space="preserve"> di garanzia. </w:t>
      </w:r>
    </w:p>
    <w:p w:rsidR="005818BA" w:rsidRPr="0041313F"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Questi ultimi costituiscono delle fattispecie contrattuali in base alle quali una parte si obbliga, a titolo di garanzia, a eseguire a prima</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richiesta la prestazione del debitore, indipendentemente dall’esistenza, dalla validità ed efficacia del rapporto di base.</w:t>
      </w:r>
      <w:r w:rsidR="00352C4C">
        <w:rPr>
          <w:rStyle w:val="Enfasigrassetto"/>
          <w:rFonts w:ascii="Times New Roman" w:hAnsi="Times New Roman" w:cs="Times New Roman"/>
          <w:b w:val="0"/>
        </w:rPr>
        <w:t xml:space="preserve"> In particolare, </w:t>
      </w:r>
      <w:r w:rsidRPr="0041313F">
        <w:rPr>
          <w:rStyle w:val="Enfasigrassetto"/>
          <w:rFonts w:ascii="Times New Roman" w:hAnsi="Times New Roman" w:cs="Times New Roman"/>
          <w:b w:val="0"/>
        </w:rPr>
        <w:t>il contratto autonomo di garanzia (c.d. "</w:t>
      </w:r>
      <w:proofErr w:type="spellStart"/>
      <w:r w:rsidRPr="0041313F">
        <w:rPr>
          <w:rStyle w:val="Enfasigrassetto"/>
          <w:rFonts w:ascii="Times New Roman" w:hAnsi="Times New Roman" w:cs="Times New Roman"/>
          <w:b w:val="0"/>
        </w:rPr>
        <w:t>Garantievertrag</w:t>
      </w:r>
      <w:proofErr w:type="spellEnd"/>
      <w:r w:rsidRPr="0041313F">
        <w:rPr>
          <w:rStyle w:val="Enfasigrassetto"/>
          <w:rFonts w:ascii="Times New Roman" w:hAnsi="Times New Roman" w:cs="Times New Roman"/>
          <w:b w:val="0"/>
        </w:rPr>
        <w:t xml:space="preserve">") ha la funzione di tenere indenne il creditore dalle conseguenze del mancato adempimento della prestazione gravante sul debitore principale, che può riguardare anche un fare infungibile, </w:t>
      </w:r>
      <w:r w:rsidR="00352C4C">
        <w:rPr>
          <w:rStyle w:val="Enfasigrassetto"/>
          <w:rFonts w:ascii="Times New Roman" w:hAnsi="Times New Roman" w:cs="Times New Roman"/>
          <w:b w:val="0"/>
        </w:rPr>
        <w:t>(</w:t>
      </w:r>
      <w:r w:rsidRPr="0041313F">
        <w:rPr>
          <w:rStyle w:val="Enfasigrassetto"/>
          <w:rFonts w:ascii="Times New Roman" w:hAnsi="Times New Roman" w:cs="Times New Roman"/>
          <w:b w:val="0"/>
        </w:rPr>
        <w:t>contrariamente al contratto del</w:t>
      </w:r>
      <w:r w:rsidR="00352C4C">
        <w:rPr>
          <w:rStyle w:val="Enfasigrassetto"/>
          <w:rFonts w:ascii="Times New Roman" w:hAnsi="Times New Roman" w:cs="Times New Roman"/>
          <w:b w:val="0"/>
        </w:rPr>
        <w:t xml:space="preserve"> fideiussore</w:t>
      </w:r>
      <w:r w:rsidRPr="0041313F">
        <w:rPr>
          <w:rStyle w:val="Enfasigrassetto"/>
          <w:rFonts w:ascii="Times New Roman" w:hAnsi="Times New Roman" w:cs="Times New Roman"/>
          <w:b w:val="0"/>
        </w:rPr>
        <w:t xml:space="preserve"> il quale garantisce l'adempimento della medesima obbligazione principale altrui</w:t>
      </w:r>
      <w:r w:rsidR="00352C4C">
        <w:rPr>
          <w:rStyle w:val="Enfasigrassetto"/>
          <w:rFonts w:ascii="Times New Roman" w:hAnsi="Times New Roman" w:cs="Times New Roman"/>
          <w:b w:val="0"/>
        </w:rPr>
        <w:t>)</w:t>
      </w:r>
      <w:r w:rsidRPr="0041313F">
        <w:rPr>
          <w:rStyle w:val="Enfasigrassetto"/>
          <w:rFonts w:ascii="Times New Roman" w:hAnsi="Times New Roman" w:cs="Times New Roman"/>
          <w:b w:val="0"/>
        </w:rPr>
        <w:t>; inoltre, la causa concreta del contratto autonomo è quella di trasferire da un soggetto ad un altro il rischio economico connesso alla mancata esecuzione di una prestazione contrattuale, sia essa dipesa da in</w:t>
      </w:r>
      <w:r w:rsidR="00352C4C">
        <w:rPr>
          <w:rStyle w:val="Enfasigrassetto"/>
          <w:rFonts w:ascii="Times New Roman" w:hAnsi="Times New Roman" w:cs="Times New Roman"/>
          <w:b w:val="0"/>
        </w:rPr>
        <w:t>adempimento colpevole oppure no</w:t>
      </w:r>
      <w:r w:rsidRPr="0041313F">
        <w:rPr>
          <w:rStyle w:val="Enfasigrassetto"/>
          <w:rFonts w:ascii="Times New Roman" w:hAnsi="Times New Roman" w:cs="Times New Roman"/>
          <w:b w:val="0"/>
        </w:rPr>
        <w:t xml:space="preserve"> </w:t>
      </w:r>
      <w:r w:rsidR="00352C4C">
        <w:rPr>
          <w:rStyle w:val="Enfasigrassetto"/>
          <w:rFonts w:ascii="Times New Roman" w:hAnsi="Times New Roman" w:cs="Times New Roman"/>
          <w:b w:val="0"/>
        </w:rPr>
        <w:t>(</w:t>
      </w:r>
      <w:r w:rsidRPr="0041313F">
        <w:rPr>
          <w:rStyle w:val="Enfasigrassetto"/>
          <w:rFonts w:ascii="Times New Roman" w:hAnsi="Times New Roman" w:cs="Times New Roman"/>
          <w:b w:val="0"/>
        </w:rPr>
        <w:t>mentre con la fideiussione, nella quale solamente ricorre l'elemento dell'accessorietà, è tutelato l'interesse all'esatto adempimento della medesima prestazione principale</w:t>
      </w:r>
      <w:r w:rsidR="00352C4C">
        <w:rPr>
          <w:rStyle w:val="Enfasigrassetto"/>
          <w:rFonts w:ascii="Times New Roman" w:hAnsi="Times New Roman" w:cs="Times New Roman"/>
          <w:b w:val="0"/>
        </w:rPr>
        <w:t>)</w:t>
      </w:r>
      <w:r w:rsidRPr="0041313F">
        <w:rPr>
          <w:rStyle w:val="Enfasigrassetto"/>
          <w:rFonts w:ascii="Times New Roman" w:hAnsi="Times New Roman" w:cs="Times New Roman"/>
          <w:b w:val="0"/>
        </w:rPr>
        <w:t>. Ne deriva che, mentre il fideiussore è un "vicario" del debitore, l'obbligazione del garante autonomo si pone in via del tutto indipendente rispetto all'obbligo primario di prestazione, essendo qualitativamente diversa da quella garantita, perché non necessariamente sovrapponibile ad essa e non rivolta all'adempimento del debito principale, bensì ad indennizzare il creditore insoddisfatto mediante il tempestivo versamento di una somma di denaro predeterminata, sostitutiva della mancata o inesatta prestazione del debitore.</w:t>
      </w:r>
      <w:r>
        <w:rPr>
          <w:rStyle w:val="Rimandonotaapidipagina"/>
          <w:rFonts w:ascii="Times New Roman" w:hAnsi="Times New Roman" w:cs="Times New Roman"/>
          <w:bCs/>
        </w:rPr>
        <w:footnoteReference w:id="4"/>
      </w:r>
      <w:r w:rsidRPr="0041313F">
        <w:rPr>
          <w:rStyle w:val="Enfasigrassetto"/>
          <w:rFonts w:ascii="Times New Roman" w:hAnsi="Times New Roman" w:cs="Times New Roman"/>
          <w:b w:val="0"/>
        </w:rPr>
        <w:t xml:space="preserve"> </w:t>
      </w:r>
    </w:p>
    <w:p w:rsidR="005818BA" w:rsidRPr="0041313F"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È ammesso, tuttavia, che il garante possa opporsi alla richiesta di pagamento del creditore in determinate circostanze. Se è vero, infatti, che l’elemento caratterizzante il contrat</w:t>
      </w:r>
      <w:r w:rsidR="00B472C8">
        <w:rPr>
          <w:rStyle w:val="Enfasigrassetto"/>
          <w:rFonts w:ascii="Times New Roman" w:hAnsi="Times New Roman" w:cs="Times New Roman"/>
          <w:b w:val="0"/>
        </w:rPr>
        <w:t>to autonomo di garanzia consiste</w:t>
      </w:r>
      <w:r w:rsidRPr="0041313F">
        <w:rPr>
          <w:rStyle w:val="Enfasigrassetto"/>
          <w:rFonts w:ascii="Times New Roman" w:hAnsi="Times New Roman" w:cs="Times New Roman"/>
          <w:b w:val="0"/>
        </w:rPr>
        <w:t xml:space="preserve"> nel comprimere al massimo la possibilità di proporre eccezioni fondate sul rapporto principale, è altrettanto vero che sussiste l’esigenza di salvaguardare la natura del rapporto giuridico di garanzia (pur se autonomo), </w:t>
      </w:r>
      <w:proofErr w:type="spellStart"/>
      <w:r w:rsidRPr="0041313F">
        <w:rPr>
          <w:rStyle w:val="Enfasigrassetto"/>
          <w:rFonts w:ascii="Times New Roman" w:hAnsi="Times New Roman" w:cs="Times New Roman"/>
          <w:b w:val="0"/>
        </w:rPr>
        <w:t>nonchè</w:t>
      </w:r>
      <w:proofErr w:type="spellEnd"/>
      <w:r w:rsidRPr="0041313F">
        <w:rPr>
          <w:rStyle w:val="Enfasigrassetto"/>
          <w:rFonts w:ascii="Times New Roman" w:hAnsi="Times New Roman" w:cs="Times New Roman"/>
          <w:b w:val="0"/>
        </w:rPr>
        <w:t xml:space="preserve"> la tutela del fondamentale principio di buona fede (con la conseguenza che al garante deve ritenersi consentito opporre l’esecuzione fraudolenta o abusiva del contratto di garanzia) ed impedire risultati che l’ordinamento vieta (e quindi consentire al garante di opporre la nullità del contratto presupposto per contrarietà a norme imperative o per illiceità della sua causa).</w:t>
      </w:r>
    </w:p>
    <w:p w:rsidR="005818BA" w:rsidRPr="0041313F"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Tali esigenze sono state prese in considerazione, oltre che dalla dottrina, anche dalla giurisprudenza</w:t>
      </w:r>
      <w:r w:rsidR="00352C4C">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la quale ha stabilito che il garante possa opporre al beneficiario:</w:t>
      </w:r>
    </w:p>
    <w:p w:rsidR="005818BA" w:rsidRPr="0041313F"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A) l’inesistenza del contratto principale;</w:t>
      </w:r>
    </w:p>
    <w:p w:rsidR="005818BA" w:rsidRPr="0041313F" w:rsidRDefault="005818BA" w:rsidP="005818BA">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B) la nullità di quest’ultimo per contrarietà a norme imperative o per illiceità della sua causa, tendendo</w:t>
      </w:r>
      <w:r w:rsidR="00352C4C">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altrimenti il contratto di garanzia ad assicurare un risultato che l’ordinamento vieta;</w:t>
      </w:r>
    </w:p>
    <w:p w:rsidR="005818BA" w:rsidRDefault="005818BA" w:rsidP="005818BA">
      <w:pPr>
        <w:pStyle w:val="Nessunaspaziatura"/>
        <w:spacing w:line="360" w:lineRule="auto"/>
        <w:jc w:val="both"/>
        <w:rPr>
          <w:rStyle w:val="Enfasigrassetto"/>
          <w:rFonts w:ascii="MS Mincho" w:eastAsia="MS Mincho" w:hAnsi="MS Mincho" w:cs="MS Mincho"/>
          <w:b w:val="0"/>
        </w:rPr>
      </w:pPr>
      <w:r w:rsidRPr="0041313F">
        <w:rPr>
          <w:rStyle w:val="Enfasigrassetto"/>
          <w:rFonts w:ascii="Times New Roman" w:hAnsi="Times New Roman" w:cs="Times New Roman"/>
          <w:b w:val="0"/>
        </w:rPr>
        <w:lastRenderedPageBreak/>
        <w:t>C) l’esecuzione fraudolenta ovvero abusiva, comprendendo in quest’ultima ipotesi anche il caso di adempimento dell’obbligazione principale, se il garante ha fornito prova liquida ed incontestabile di detto adempimento</w:t>
      </w:r>
      <w:r>
        <w:rPr>
          <w:rStyle w:val="Enfasigrassetto"/>
          <w:rFonts w:ascii="Times New Roman" w:hAnsi="Times New Roman" w:cs="Times New Roman"/>
          <w:b w:val="0"/>
        </w:rPr>
        <w:t xml:space="preserve"> </w:t>
      </w:r>
      <w:r w:rsidRPr="00D615DE">
        <w:rPr>
          <w:rStyle w:val="Enfasigrassetto"/>
          <w:rFonts w:ascii="Times New Roman" w:hAnsi="Times New Roman" w:cs="Times New Roman"/>
          <w:b w:val="0"/>
        </w:rPr>
        <w:t>(</w:t>
      </w:r>
      <w:proofErr w:type="spellStart"/>
      <w:r w:rsidRPr="00D615DE">
        <w:rPr>
          <w:rStyle w:val="Enfasigrassetto"/>
          <w:rFonts w:ascii="Times New Roman" w:hAnsi="Times New Roman" w:cs="Times New Roman"/>
          <w:b w:val="0"/>
        </w:rPr>
        <w:t>Cass</w:t>
      </w:r>
      <w:proofErr w:type="spellEnd"/>
      <w:r w:rsidRPr="00D615DE">
        <w:rPr>
          <w:rStyle w:val="Enfasigrassetto"/>
          <w:rFonts w:ascii="Times New Roman" w:hAnsi="Times New Roman" w:cs="Times New Roman"/>
          <w:b w:val="0"/>
        </w:rPr>
        <w:t xml:space="preserve">. </w:t>
      </w:r>
      <w:proofErr w:type="spellStart"/>
      <w:r w:rsidRPr="00D615DE">
        <w:rPr>
          <w:rStyle w:val="Enfasigrassetto"/>
          <w:rFonts w:ascii="Times New Roman" w:hAnsi="Times New Roman" w:cs="Times New Roman"/>
          <w:b w:val="0"/>
        </w:rPr>
        <w:t>Civ</w:t>
      </w:r>
      <w:proofErr w:type="spellEnd"/>
      <w:r w:rsidRPr="00D615DE">
        <w:rPr>
          <w:rStyle w:val="Enfasigrassetto"/>
          <w:rFonts w:ascii="Times New Roman" w:hAnsi="Times New Roman" w:cs="Times New Roman"/>
          <w:b w:val="0"/>
        </w:rPr>
        <w:t xml:space="preserve">., sez. III, 24.4.2008, n. 10652; </w:t>
      </w:r>
      <w:proofErr w:type="spellStart"/>
      <w:r w:rsidRPr="00D615DE">
        <w:rPr>
          <w:rStyle w:val="Enfasigrassetto"/>
          <w:rFonts w:ascii="Times New Roman" w:hAnsi="Times New Roman" w:cs="Times New Roman"/>
          <w:b w:val="0"/>
        </w:rPr>
        <w:t>C</w:t>
      </w:r>
      <w:r w:rsidR="00352C4C">
        <w:rPr>
          <w:rStyle w:val="Enfasigrassetto"/>
          <w:rFonts w:ascii="Times New Roman" w:hAnsi="Times New Roman" w:cs="Times New Roman"/>
          <w:b w:val="0"/>
        </w:rPr>
        <w:t>ass</w:t>
      </w:r>
      <w:proofErr w:type="spellEnd"/>
      <w:r w:rsidR="00352C4C">
        <w:rPr>
          <w:rStyle w:val="Enfasigrassetto"/>
          <w:rFonts w:ascii="Times New Roman" w:hAnsi="Times New Roman" w:cs="Times New Roman"/>
          <w:b w:val="0"/>
        </w:rPr>
        <w:t xml:space="preserve">. </w:t>
      </w:r>
      <w:proofErr w:type="spellStart"/>
      <w:r w:rsidR="00352C4C">
        <w:rPr>
          <w:rStyle w:val="Enfasigrassetto"/>
          <w:rFonts w:ascii="Times New Roman" w:hAnsi="Times New Roman" w:cs="Times New Roman"/>
          <w:b w:val="0"/>
        </w:rPr>
        <w:t>Civ</w:t>
      </w:r>
      <w:proofErr w:type="spellEnd"/>
      <w:r w:rsidR="00352C4C">
        <w:rPr>
          <w:rStyle w:val="Enfasigrassetto"/>
          <w:rFonts w:ascii="Times New Roman" w:hAnsi="Times New Roman" w:cs="Times New Roman"/>
          <w:b w:val="0"/>
        </w:rPr>
        <w:t>., 14.12.2007, n. 26262).</w:t>
      </w:r>
      <w:r>
        <w:rPr>
          <w:rStyle w:val="Rimandonotaapidipagina"/>
          <w:rFonts w:ascii="Times New Roman" w:hAnsi="Times New Roman" w:cs="Times New Roman"/>
          <w:bCs/>
        </w:rPr>
        <w:footnoteReference w:id="5"/>
      </w:r>
      <w:r w:rsidRPr="0041313F">
        <w:rPr>
          <w:rStyle w:val="Enfasigrassetto"/>
          <w:rFonts w:ascii="Times New Roman" w:hAnsi="Times New Roman" w:cs="Times New Roman"/>
          <w:b w:val="0"/>
        </w:rPr>
        <w:t xml:space="preserve"> </w:t>
      </w:r>
    </w:p>
    <w:p w:rsidR="005818BA" w:rsidRPr="005818BA" w:rsidRDefault="00F20DB2" w:rsidP="00483477">
      <w:pPr>
        <w:pStyle w:val="Nessunaspaziatura"/>
        <w:numPr>
          <w:ilvl w:val="0"/>
          <w:numId w:val="12"/>
        </w:numPr>
        <w:spacing w:line="360" w:lineRule="auto"/>
        <w:ind w:left="0" w:hanging="284"/>
        <w:jc w:val="both"/>
        <w:rPr>
          <w:rStyle w:val="Enfasigrassetto"/>
          <w:rFonts w:ascii="Times New Roman" w:hAnsi="Times New Roman" w:cs="Times New Roman"/>
          <w:b w:val="0"/>
        </w:rPr>
      </w:pPr>
      <w:r>
        <w:rPr>
          <w:rStyle w:val="Enfasigrassetto"/>
          <w:rFonts w:ascii="Times New Roman" w:hAnsi="Times New Roman" w:cs="Times New Roman"/>
        </w:rPr>
        <w:t xml:space="preserve">La cauzione prestata dalle Associazioni Temporanee </w:t>
      </w:r>
      <w:r w:rsidR="005818BA" w:rsidRPr="005818BA">
        <w:rPr>
          <w:rStyle w:val="Enfasigrassetto"/>
          <w:rFonts w:ascii="Times New Roman" w:hAnsi="Times New Roman" w:cs="Times New Roman"/>
        </w:rPr>
        <w:t xml:space="preserve">di Imprese </w:t>
      </w:r>
      <w:r w:rsidR="00736141" w:rsidRPr="005818BA">
        <w:rPr>
          <w:rStyle w:val="Enfasigrassetto"/>
          <w:rFonts w:ascii="Times New Roman" w:hAnsi="Times New Roman" w:cs="Times New Roman"/>
        </w:rPr>
        <w:t>e dai</w:t>
      </w:r>
      <w:r w:rsidR="00010D2F" w:rsidRPr="005818BA">
        <w:rPr>
          <w:rStyle w:val="Enfasigrassetto"/>
          <w:rFonts w:ascii="Times New Roman" w:hAnsi="Times New Roman" w:cs="Times New Roman"/>
        </w:rPr>
        <w:t xml:space="preserve"> Consorzi</w:t>
      </w:r>
    </w:p>
    <w:p w:rsidR="00F533B3" w:rsidRPr="0041313F" w:rsidRDefault="00010D2F"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In presenza di A</w:t>
      </w:r>
      <w:r w:rsidR="00F20DB2">
        <w:rPr>
          <w:rStyle w:val="Enfasigrassetto"/>
          <w:rFonts w:ascii="Times New Roman" w:hAnsi="Times New Roman" w:cs="Times New Roman"/>
          <w:b w:val="0"/>
        </w:rPr>
        <w:t>.</w:t>
      </w:r>
      <w:r w:rsidRPr="0041313F">
        <w:rPr>
          <w:rStyle w:val="Enfasigrassetto"/>
          <w:rFonts w:ascii="Times New Roman" w:hAnsi="Times New Roman" w:cs="Times New Roman"/>
          <w:b w:val="0"/>
        </w:rPr>
        <w:t>T</w:t>
      </w:r>
      <w:r w:rsidR="00F20DB2">
        <w:rPr>
          <w:rStyle w:val="Enfasigrassetto"/>
          <w:rFonts w:ascii="Times New Roman" w:hAnsi="Times New Roman" w:cs="Times New Roman"/>
          <w:b w:val="0"/>
        </w:rPr>
        <w:t>.</w:t>
      </w:r>
      <w:r w:rsidRPr="0041313F">
        <w:rPr>
          <w:rStyle w:val="Enfasigrassetto"/>
          <w:rFonts w:ascii="Times New Roman" w:hAnsi="Times New Roman" w:cs="Times New Roman"/>
          <w:b w:val="0"/>
        </w:rPr>
        <w:t>I</w:t>
      </w:r>
      <w:r w:rsidR="00F20DB2">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 </w:t>
      </w:r>
      <w:r w:rsidR="00B472C8">
        <w:rPr>
          <w:rStyle w:val="Enfasigrassetto"/>
          <w:rFonts w:ascii="Times New Roman" w:hAnsi="Times New Roman" w:cs="Times New Roman"/>
          <w:b w:val="0"/>
        </w:rPr>
        <w:t xml:space="preserve">(associazioni temporanee di imprese) </w:t>
      </w:r>
      <w:r w:rsidRPr="0041313F">
        <w:rPr>
          <w:rStyle w:val="Enfasigrassetto"/>
          <w:rFonts w:ascii="Times New Roman" w:hAnsi="Times New Roman" w:cs="Times New Roman"/>
          <w:b w:val="0"/>
        </w:rPr>
        <w:t>costituende la cauzione provvisoria deve garantire due obbligazioni: la prima,</w:t>
      </w:r>
      <w:r w:rsidR="003B5B4D">
        <w:rPr>
          <w:rStyle w:val="Enfasigrassetto"/>
          <w:rFonts w:ascii="MS Mincho" w:eastAsia="MS Mincho" w:hAnsi="MS Mincho" w:cs="MS Mincho"/>
          <w:b w:val="0"/>
        </w:rPr>
        <w:t xml:space="preserve"> </w:t>
      </w:r>
      <w:r w:rsidRPr="0041313F">
        <w:rPr>
          <w:rStyle w:val="Enfasigrassetto"/>
          <w:rFonts w:ascii="Times New Roman" w:hAnsi="Times New Roman" w:cs="Times New Roman"/>
          <w:b w:val="0"/>
        </w:rPr>
        <w:t>quella delle mandanti di conferire, dopo l’aggiudicazione del contratto, il mandato collettivo</w:t>
      </w:r>
      <w:r w:rsidR="003B5B4D">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alla designata capogruppo, in difetto del quale il contratto non potrebbe essere stipulato; la</w:t>
      </w:r>
      <w:r w:rsidR="003B5B4D">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seconda, quella finale della capogruppo alla sottoscrizione del contratto. Ciò si spiega con il fatto</w:t>
      </w:r>
      <w:r w:rsidR="003B5B4D">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che in presenza di una A</w:t>
      </w:r>
      <w:r w:rsidR="00F20DB2">
        <w:rPr>
          <w:rStyle w:val="Enfasigrassetto"/>
          <w:rFonts w:ascii="Times New Roman" w:hAnsi="Times New Roman" w:cs="Times New Roman"/>
          <w:b w:val="0"/>
        </w:rPr>
        <w:t>.</w:t>
      </w:r>
      <w:r w:rsidRPr="0041313F">
        <w:rPr>
          <w:rStyle w:val="Enfasigrassetto"/>
          <w:rFonts w:ascii="Times New Roman" w:hAnsi="Times New Roman" w:cs="Times New Roman"/>
          <w:b w:val="0"/>
        </w:rPr>
        <w:t>T</w:t>
      </w:r>
      <w:r w:rsidR="00F20DB2">
        <w:rPr>
          <w:rStyle w:val="Enfasigrassetto"/>
          <w:rFonts w:ascii="Times New Roman" w:hAnsi="Times New Roman" w:cs="Times New Roman"/>
          <w:b w:val="0"/>
        </w:rPr>
        <w:t>.</w:t>
      </w:r>
      <w:r w:rsidRPr="0041313F">
        <w:rPr>
          <w:rStyle w:val="Enfasigrassetto"/>
          <w:rFonts w:ascii="Times New Roman" w:hAnsi="Times New Roman" w:cs="Times New Roman"/>
          <w:b w:val="0"/>
        </w:rPr>
        <w:t>I</w:t>
      </w:r>
      <w:r w:rsidR="00F20DB2">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 costituenda, il soggetto garantito</w:t>
      </w:r>
      <w:r w:rsidR="00F97C89" w:rsidRPr="0041313F">
        <w:rPr>
          <w:rStyle w:val="Enfasigrassetto"/>
          <w:rFonts w:ascii="Times New Roman" w:hAnsi="Times New Roman" w:cs="Times New Roman"/>
          <w:b w:val="0"/>
        </w:rPr>
        <w:t xml:space="preserve"> non è </w:t>
      </w:r>
      <w:r w:rsidR="00F20DB2">
        <w:rPr>
          <w:rStyle w:val="Enfasigrassetto"/>
          <w:rFonts w:ascii="Times New Roman" w:hAnsi="Times New Roman" w:cs="Times New Roman"/>
          <w:b w:val="0"/>
        </w:rPr>
        <w:t xml:space="preserve">il raggruppamento </w:t>
      </w:r>
      <w:r w:rsidR="00F97C89" w:rsidRPr="0041313F">
        <w:rPr>
          <w:rStyle w:val="Enfasigrassetto"/>
          <w:rFonts w:ascii="Times New Roman" w:hAnsi="Times New Roman" w:cs="Times New Roman"/>
          <w:b w:val="0"/>
        </w:rPr>
        <w:t xml:space="preserve">nel suo complesso </w:t>
      </w:r>
      <w:r w:rsidRPr="0041313F">
        <w:rPr>
          <w:rStyle w:val="Enfasigrassetto"/>
          <w:rFonts w:ascii="Times New Roman" w:hAnsi="Times New Roman" w:cs="Times New Roman"/>
          <w:b w:val="0"/>
        </w:rPr>
        <w:t xml:space="preserve">(non essendo ancora stata costituita) e non è neppure la sola capogruppo designata, per cui debbono essere garantite tutte le imprese </w:t>
      </w:r>
      <w:proofErr w:type="spellStart"/>
      <w:r w:rsidRPr="0041313F">
        <w:rPr>
          <w:rStyle w:val="Enfasigrassetto"/>
          <w:rFonts w:ascii="Times New Roman" w:hAnsi="Times New Roman" w:cs="Times New Roman"/>
          <w:b w:val="0"/>
        </w:rPr>
        <w:t>asso</w:t>
      </w:r>
      <w:r w:rsidR="00B472C8">
        <w:rPr>
          <w:rStyle w:val="Enfasigrassetto"/>
          <w:rFonts w:ascii="Times New Roman" w:hAnsi="Times New Roman" w:cs="Times New Roman"/>
          <w:b w:val="0"/>
        </w:rPr>
        <w:t>ciande</w:t>
      </w:r>
      <w:proofErr w:type="spellEnd"/>
      <w:r w:rsidR="00B472C8">
        <w:rPr>
          <w:rStyle w:val="Enfasigrassetto"/>
          <w:rFonts w:ascii="Times New Roman" w:hAnsi="Times New Roman" w:cs="Times New Roman"/>
          <w:b w:val="0"/>
        </w:rPr>
        <w:t xml:space="preserve"> che durante la gara operi</w:t>
      </w:r>
      <w:r w:rsidRPr="0041313F">
        <w:rPr>
          <w:rStyle w:val="Enfasigrassetto"/>
          <w:rFonts w:ascii="Times New Roman" w:hAnsi="Times New Roman" w:cs="Times New Roman"/>
          <w:b w:val="0"/>
        </w:rPr>
        <w:t>no individualmente e responsabilmente nell’assolvime</w:t>
      </w:r>
      <w:r w:rsidR="000808A4">
        <w:rPr>
          <w:rStyle w:val="Enfasigrassetto"/>
          <w:rFonts w:ascii="Times New Roman" w:hAnsi="Times New Roman" w:cs="Times New Roman"/>
          <w:b w:val="0"/>
        </w:rPr>
        <w:t>nto degli impegni ivi connessi</w:t>
      </w:r>
      <w:r w:rsidRPr="0041313F">
        <w:rPr>
          <w:rStyle w:val="Enfasigrassetto"/>
          <w:rFonts w:ascii="Times New Roman" w:hAnsi="Times New Roman" w:cs="Times New Roman"/>
          <w:b w:val="0"/>
        </w:rPr>
        <w:t>. Ne consegue che il fideiussore debba richiamare espressamente la natura collettiva della partecipazione alla gara di più imprese, identificandole singolarmente, in modo tale che venga garantita non solo l’eventuale mancata sottoscrizione del contratto ma anche l’adempimento di tutti gli obblighi derivanti dalla partecipazione</w:t>
      </w:r>
      <w:r w:rsidR="00052F84"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ad una</w:t>
      </w:r>
      <w:r w:rsidR="00052F84" w:rsidRPr="0041313F">
        <w:rPr>
          <w:rStyle w:val="Enfasigrassetto"/>
          <w:rFonts w:ascii="Times New Roman" w:hAnsi="Times New Roman" w:cs="Times New Roman"/>
          <w:b w:val="0"/>
        </w:rPr>
        <w:t xml:space="preserve"> procedura</w:t>
      </w:r>
      <w:r w:rsidR="007831DF" w:rsidRPr="0041313F">
        <w:rPr>
          <w:rStyle w:val="Enfasigrassetto"/>
          <w:rFonts w:ascii="Times New Roman" w:hAnsi="Times New Roman" w:cs="Times New Roman"/>
          <w:b w:val="0"/>
        </w:rPr>
        <w:t xml:space="preserve"> di evidenza pubblica. Tale principio è saldamente confermato dalla giurisprudenza secondo cui “</w:t>
      </w:r>
      <w:r w:rsidR="007831DF" w:rsidRPr="000808A4">
        <w:rPr>
          <w:rStyle w:val="Enfasigrassetto"/>
          <w:rFonts w:ascii="Times New Roman" w:hAnsi="Times New Roman" w:cs="Times New Roman"/>
          <w:b w:val="0"/>
          <w:i/>
        </w:rPr>
        <w:t xml:space="preserve">Nel caso di partecipazione alla gara di appalto di un costituendo </w:t>
      </w:r>
      <w:proofErr w:type="spellStart"/>
      <w:r w:rsidR="007831DF" w:rsidRPr="000808A4">
        <w:rPr>
          <w:rStyle w:val="Enfasigrassetto"/>
          <w:rFonts w:ascii="Times New Roman" w:hAnsi="Times New Roman" w:cs="Times New Roman"/>
          <w:b w:val="0"/>
          <w:i/>
        </w:rPr>
        <w:t>r.t.i</w:t>
      </w:r>
      <w:proofErr w:type="spellEnd"/>
      <w:r w:rsidR="007831DF" w:rsidRPr="000808A4">
        <w:rPr>
          <w:rStyle w:val="Enfasigrassetto"/>
          <w:rFonts w:ascii="Times New Roman" w:hAnsi="Times New Roman" w:cs="Times New Roman"/>
          <w:b w:val="0"/>
          <w:i/>
        </w:rPr>
        <w:t>., la cauzione provvisoria deve essere inderogabilmente intestata non solo alla società capogruppo ma anche alle singole mandanti: ciò affinché possa essere individuata l'obbligazione garantita in tutti i suoi elementi soggettivi ed oggettivi onde evitare il configurarsi di una carenza di garanzia per la stazione appaltante con riferimento a quei casi in cui l'inadempimento non dipenda dalla capogruppo des</w:t>
      </w:r>
      <w:r w:rsidR="00F97C89" w:rsidRPr="000808A4">
        <w:rPr>
          <w:rStyle w:val="Enfasigrassetto"/>
          <w:rFonts w:ascii="Times New Roman" w:hAnsi="Times New Roman" w:cs="Times New Roman"/>
          <w:b w:val="0"/>
          <w:i/>
        </w:rPr>
        <w:t>ignata ma dalle future mandanti</w:t>
      </w:r>
      <w:r w:rsidR="000808A4">
        <w:rPr>
          <w:rStyle w:val="Enfasigrassetto"/>
          <w:rFonts w:ascii="Times New Roman" w:hAnsi="Times New Roman" w:cs="Times New Roman"/>
          <w:b w:val="0"/>
        </w:rPr>
        <w:t>”</w:t>
      </w:r>
      <w:r w:rsidR="00F97C89" w:rsidRPr="0041313F">
        <w:rPr>
          <w:rStyle w:val="Enfasigrassetto"/>
          <w:rFonts w:ascii="Times New Roman" w:hAnsi="Times New Roman" w:cs="Times New Roman"/>
          <w:b w:val="0"/>
        </w:rPr>
        <w:t xml:space="preserve"> (Consiglio di Stato sez. V 26/03/2012 n. 1732; </w:t>
      </w:r>
      <w:proofErr w:type="spellStart"/>
      <w:r w:rsidR="00F533B3" w:rsidRPr="0041313F">
        <w:rPr>
          <w:rStyle w:val="Enfasigrassetto"/>
          <w:rFonts w:ascii="Times New Roman" w:hAnsi="Times New Roman" w:cs="Times New Roman"/>
          <w:b w:val="0"/>
        </w:rPr>
        <w:t>Cons</w:t>
      </w:r>
      <w:proofErr w:type="spellEnd"/>
      <w:r w:rsidR="00F533B3" w:rsidRPr="0041313F">
        <w:rPr>
          <w:rStyle w:val="Enfasigrassetto"/>
          <w:rFonts w:ascii="Times New Roman" w:hAnsi="Times New Roman" w:cs="Times New Roman"/>
          <w:b w:val="0"/>
        </w:rPr>
        <w:t xml:space="preserve">. Stato, </w:t>
      </w:r>
      <w:r w:rsidRPr="0041313F">
        <w:rPr>
          <w:rStyle w:val="Enfasigrassetto"/>
          <w:rFonts w:ascii="Times New Roman" w:hAnsi="Times New Roman" w:cs="Times New Roman"/>
          <w:b w:val="0"/>
        </w:rPr>
        <w:t xml:space="preserve">Sez. V, 2.11.2011 n. 5841;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w:t>
      </w:r>
      <w:r w:rsidR="00F533B3"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Stato, Sez. V, 11.11.2011 n. 5959;</w:t>
      </w:r>
      <w:r w:rsidR="00F533B3" w:rsidRPr="0041313F">
        <w:rPr>
          <w:rStyle w:val="Enfasigrassetto"/>
          <w:rFonts w:ascii="Times New Roman" w:hAnsi="Times New Roman" w:cs="Times New Roman"/>
          <w:b w:val="0"/>
        </w:rPr>
        <w:t xml:space="preserve">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xml:space="preserve">. </w:t>
      </w:r>
      <w:proofErr w:type="spellStart"/>
      <w:r w:rsidRPr="00047D15">
        <w:rPr>
          <w:rStyle w:val="Enfasigrassetto"/>
          <w:rFonts w:ascii="Times New Roman" w:hAnsi="Times New Roman" w:cs="Times New Roman"/>
          <w:b w:val="0"/>
          <w:lang w:val="en-US"/>
        </w:rPr>
        <w:t>Stato</w:t>
      </w:r>
      <w:proofErr w:type="spellEnd"/>
      <w:r w:rsidRPr="00047D15">
        <w:rPr>
          <w:rStyle w:val="Enfasigrassetto"/>
          <w:rFonts w:ascii="Times New Roman" w:hAnsi="Times New Roman" w:cs="Times New Roman"/>
          <w:b w:val="0"/>
          <w:lang w:val="en-US"/>
        </w:rPr>
        <w:t xml:space="preserve">, </w:t>
      </w:r>
      <w:proofErr w:type="spellStart"/>
      <w:r w:rsidRPr="00047D15">
        <w:rPr>
          <w:rStyle w:val="Enfasigrassetto"/>
          <w:rFonts w:ascii="Times New Roman" w:hAnsi="Times New Roman" w:cs="Times New Roman"/>
          <w:b w:val="0"/>
          <w:lang w:val="en-US"/>
        </w:rPr>
        <w:t>sez</w:t>
      </w:r>
      <w:proofErr w:type="spellEnd"/>
      <w:r w:rsidRPr="00047D15">
        <w:rPr>
          <w:rStyle w:val="Enfasigrassetto"/>
          <w:rFonts w:ascii="Times New Roman" w:hAnsi="Times New Roman" w:cs="Times New Roman"/>
          <w:b w:val="0"/>
          <w:lang w:val="en-US"/>
        </w:rPr>
        <w:t>. V, 7.4.2011, n. 2169;</w:t>
      </w:r>
      <w:r w:rsidR="00F533B3" w:rsidRPr="00047D15">
        <w:rPr>
          <w:rStyle w:val="Enfasigrassetto"/>
          <w:rFonts w:ascii="Times New Roman" w:hAnsi="Times New Roman" w:cs="Times New Roman"/>
          <w:b w:val="0"/>
          <w:lang w:val="en-US"/>
        </w:rPr>
        <w:t xml:space="preserve"> </w:t>
      </w:r>
      <w:hyperlink r:id="rId9" w:history="1">
        <w:r w:rsidR="00F97C89" w:rsidRPr="00047D15">
          <w:rPr>
            <w:rStyle w:val="Enfasigrassetto"/>
            <w:rFonts w:ascii="Times New Roman" w:hAnsi="Times New Roman" w:cs="Times New Roman"/>
            <w:b w:val="0"/>
            <w:lang w:val="en-US"/>
          </w:rPr>
          <w:t xml:space="preserve">Cons. </w:t>
        </w:r>
        <w:r w:rsidR="00F97C89" w:rsidRPr="0041313F">
          <w:rPr>
            <w:rStyle w:val="Enfasigrassetto"/>
            <w:rFonts w:ascii="Times New Roman" w:hAnsi="Times New Roman" w:cs="Times New Roman"/>
            <w:b w:val="0"/>
            <w:lang w:val="en-US"/>
          </w:rPr>
          <w:t xml:space="preserve">St., ad. </w:t>
        </w:r>
        <w:proofErr w:type="spellStart"/>
        <w:r w:rsidR="00F97C89" w:rsidRPr="0041313F">
          <w:rPr>
            <w:rStyle w:val="Enfasigrassetto"/>
            <w:rFonts w:ascii="Times New Roman" w:hAnsi="Times New Roman" w:cs="Times New Roman"/>
            <w:b w:val="0"/>
            <w:lang w:val="en-US"/>
          </w:rPr>
          <w:t>plen</w:t>
        </w:r>
        <w:proofErr w:type="spellEnd"/>
        <w:r w:rsidR="00F97C89" w:rsidRPr="0041313F">
          <w:rPr>
            <w:rStyle w:val="Enfasigrassetto"/>
            <w:rFonts w:ascii="Times New Roman" w:hAnsi="Times New Roman" w:cs="Times New Roman"/>
            <w:b w:val="0"/>
            <w:lang w:val="en-US"/>
          </w:rPr>
          <w:t xml:space="preserve">., 4 </w:t>
        </w:r>
        <w:proofErr w:type="spellStart"/>
        <w:r w:rsidR="00F97C89" w:rsidRPr="0041313F">
          <w:rPr>
            <w:rStyle w:val="Enfasigrassetto"/>
            <w:rFonts w:ascii="Times New Roman" w:hAnsi="Times New Roman" w:cs="Times New Roman"/>
            <w:b w:val="0"/>
            <w:lang w:val="en-US"/>
          </w:rPr>
          <w:t>ottobre</w:t>
        </w:r>
        <w:proofErr w:type="spellEnd"/>
        <w:r w:rsidR="00F97C89" w:rsidRPr="0041313F">
          <w:rPr>
            <w:rStyle w:val="Enfasigrassetto"/>
            <w:rFonts w:ascii="Times New Roman" w:hAnsi="Times New Roman" w:cs="Times New Roman"/>
            <w:b w:val="0"/>
            <w:lang w:val="en-US"/>
          </w:rPr>
          <w:t xml:space="preserve"> 2005, n. 8</w:t>
        </w:r>
      </w:hyperlink>
      <w:r w:rsidR="00F97C89" w:rsidRPr="0041313F">
        <w:rPr>
          <w:rStyle w:val="Enfasigrassetto"/>
          <w:rFonts w:ascii="Times New Roman" w:hAnsi="Times New Roman" w:cs="Times New Roman"/>
          <w:b w:val="0"/>
          <w:lang w:val="en-US"/>
        </w:rPr>
        <w:t xml:space="preserve">; </w:t>
      </w:r>
      <w:r w:rsidR="00F533B3" w:rsidRPr="00047D15">
        <w:rPr>
          <w:rStyle w:val="Enfasigrassetto"/>
          <w:rFonts w:ascii="Times New Roman" w:hAnsi="Times New Roman" w:cs="Times New Roman"/>
          <w:b w:val="0"/>
          <w:lang w:val="en-US"/>
        </w:rPr>
        <w:t xml:space="preserve"> </w:t>
      </w:r>
      <w:r w:rsidRPr="00047D15">
        <w:rPr>
          <w:rStyle w:val="Enfasigrassetto"/>
          <w:rFonts w:ascii="Times New Roman" w:hAnsi="Times New Roman" w:cs="Times New Roman"/>
          <w:b w:val="0"/>
          <w:lang w:val="en-US"/>
        </w:rPr>
        <w:t>T.A.R.  </w:t>
      </w:r>
      <w:r w:rsidRPr="0041313F">
        <w:rPr>
          <w:rStyle w:val="Enfasigrassetto"/>
          <w:rFonts w:ascii="Times New Roman" w:hAnsi="Times New Roman" w:cs="Times New Roman"/>
          <w:b w:val="0"/>
        </w:rPr>
        <w:t>Catanzaro (Calabria)  sez. I 12/12/2012 n.1171</w:t>
      </w:r>
      <w:r w:rsidR="00F533B3"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T.A.R. Sardegna, Cagliari, sez.</w:t>
      </w:r>
      <w:r w:rsidR="00F533B3"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I, 17.6.2011, n. 594). </w:t>
      </w:r>
    </w:p>
    <w:p w:rsidR="00010D2F" w:rsidRPr="0041313F" w:rsidRDefault="00F97C89"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lastRenderedPageBreak/>
        <w:t>L’obbligo di costituzione della fideiussione a favore di tutti i partecipanti dell’A</w:t>
      </w:r>
      <w:r w:rsidR="00F20DB2">
        <w:rPr>
          <w:rStyle w:val="Enfasigrassetto"/>
          <w:rFonts w:ascii="Times New Roman" w:hAnsi="Times New Roman" w:cs="Times New Roman"/>
          <w:b w:val="0"/>
        </w:rPr>
        <w:t>.</w:t>
      </w:r>
      <w:r w:rsidRPr="0041313F">
        <w:rPr>
          <w:rStyle w:val="Enfasigrassetto"/>
          <w:rFonts w:ascii="Times New Roman" w:hAnsi="Times New Roman" w:cs="Times New Roman"/>
          <w:b w:val="0"/>
        </w:rPr>
        <w:t>T</w:t>
      </w:r>
      <w:r w:rsidR="00F20DB2">
        <w:rPr>
          <w:rStyle w:val="Enfasigrassetto"/>
          <w:rFonts w:ascii="Times New Roman" w:hAnsi="Times New Roman" w:cs="Times New Roman"/>
          <w:b w:val="0"/>
        </w:rPr>
        <w:t>.</w:t>
      </w:r>
      <w:r w:rsidRPr="0041313F">
        <w:rPr>
          <w:rStyle w:val="Enfasigrassetto"/>
          <w:rFonts w:ascii="Times New Roman" w:hAnsi="Times New Roman" w:cs="Times New Roman"/>
          <w:b w:val="0"/>
        </w:rPr>
        <w:t>I</w:t>
      </w:r>
      <w:r w:rsidR="00F20DB2">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 </w:t>
      </w:r>
      <w:r w:rsidR="00F20DB2">
        <w:rPr>
          <w:rStyle w:val="Enfasigrassetto"/>
          <w:rFonts w:ascii="Times New Roman" w:hAnsi="Times New Roman" w:cs="Times New Roman"/>
          <w:b w:val="0"/>
        </w:rPr>
        <w:t>p</w:t>
      </w:r>
      <w:r w:rsidRPr="0041313F">
        <w:rPr>
          <w:rStyle w:val="Enfasigrassetto"/>
          <w:rFonts w:ascii="Times New Roman" w:hAnsi="Times New Roman" w:cs="Times New Roman"/>
          <w:b w:val="0"/>
        </w:rPr>
        <w:t>are sussistere anche a seguito dell’introduzione dell’art. 46 comma 1-bis del Codice. Il Bando-Tipo adottato dall</w:t>
      </w:r>
      <w:r w:rsidR="00F533B3" w:rsidRPr="0041313F">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Autorità per la Vigilanza sui contratti pubblici di lavori, servizi e forniture, </w:t>
      </w:r>
      <w:r w:rsidR="000808A4">
        <w:rPr>
          <w:rStyle w:val="Enfasigrassetto"/>
          <w:rFonts w:ascii="Times New Roman" w:hAnsi="Times New Roman" w:cs="Times New Roman"/>
          <w:b w:val="0"/>
        </w:rPr>
        <w:t xml:space="preserve">stabilisce </w:t>
      </w:r>
      <w:r w:rsidRPr="0041313F">
        <w:rPr>
          <w:rStyle w:val="Enfasigrassetto"/>
          <w:rFonts w:ascii="Times New Roman" w:hAnsi="Times New Roman" w:cs="Times New Roman"/>
          <w:b w:val="0"/>
        </w:rPr>
        <w:t xml:space="preserve">che </w:t>
      </w:r>
      <w:r w:rsidR="00F20DB2" w:rsidRPr="0041313F">
        <w:rPr>
          <w:rStyle w:val="Enfasigrassetto"/>
          <w:rFonts w:ascii="Times New Roman" w:hAnsi="Times New Roman" w:cs="Times New Roman"/>
          <w:b w:val="0"/>
        </w:rPr>
        <w:t xml:space="preserve">la mancata intestazione della cauzione a tutte le imprese </w:t>
      </w:r>
      <w:proofErr w:type="spellStart"/>
      <w:r w:rsidR="00F20DB2" w:rsidRPr="0041313F">
        <w:rPr>
          <w:rStyle w:val="Enfasigrassetto"/>
          <w:rFonts w:ascii="Times New Roman" w:hAnsi="Times New Roman" w:cs="Times New Roman"/>
          <w:b w:val="0"/>
        </w:rPr>
        <w:t>associande</w:t>
      </w:r>
      <w:proofErr w:type="spellEnd"/>
      <w:r w:rsidR="00F20DB2" w:rsidRPr="0041313F">
        <w:rPr>
          <w:rStyle w:val="Enfasigrassetto"/>
          <w:rFonts w:ascii="Times New Roman" w:hAnsi="Times New Roman" w:cs="Times New Roman"/>
          <w:b w:val="0"/>
        </w:rPr>
        <w:t xml:space="preserve"> </w:t>
      </w:r>
      <w:r w:rsidR="00F20DB2">
        <w:rPr>
          <w:rStyle w:val="Enfasigrassetto"/>
          <w:rFonts w:ascii="Times New Roman" w:hAnsi="Times New Roman" w:cs="Times New Roman"/>
          <w:b w:val="0"/>
        </w:rPr>
        <w:t>determina l’</w:t>
      </w:r>
      <w:r w:rsidR="00B97E75" w:rsidRPr="0041313F">
        <w:rPr>
          <w:rStyle w:val="Enfasigrassetto"/>
          <w:rFonts w:ascii="Times New Roman" w:hAnsi="Times New Roman" w:cs="Times New Roman"/>
          <w:b w:val="0"/>
        </w:rPr>
        <w:t>esclusione</w:t>
      </w:r>
      <w:r w:rsidR="00F20DB2">
        <w:rPr>
          <w:rStyle w:val="Enfasigrassetto"/>
          <w:rFonts w:ascii="Times New Roman" w:hAnsi="Times New Roman" w:cs="Times New Roman"/>
          <w:b w:val="0"/>
        </w:rPr>
        <w:t xml:space="preserve"> dell’offerente</w:t>
      </w:r>
      <w:r w:rsidR="00B97E75" w:rsidRPr="0041313F">
        <w:rPr>
          <w:rStyle w:val="Enfasigrassetto"/>
          <w:rFonts w:ascii="Times New Roman" w:hAnsi="Times New Roman" w:cs="Times New Roman"/>
          <w:b w:val="0"/>
        </w:rPr>
        <w:t xml:space="preserve"> </w:t>
      </w:r>
      <w:r w:rsidR="00010D2F" w:rsidRPr="0041313F">
        <w:rPr>
          <w:rStyle w:val="Enfasigrassetto"/>
          <w:rFonts w:ascii="Times New Roman" w:hAnsi="Times New Roman" w:cs="Times New Roman"/>
          <w:b w:val="0"/>
        </w:rPr>
        <w:t>(AVCP Determinazione n.  4 del 10 ottobre 2012)</w:t>
      </w:r>
      <w:r w:rsidR="00B97E75" w:rsidRPr="0041313F">
        <w:rPr>
          <w:rStyle w:val="Enfasigrassetto"/>
          <w:rFonts w:ascii="Times New Roman" w:hAnsi="Times New Roman" w:cs="Times New Roman"/>
          <w:b w:val="0"/>
        </w:rPr>
        <w:t>.</w:t>
      </w:r>
      <w:r w:rsidR="00F20DB2">
        <w:rPr>
          <w:rStyle w:val="Enfasigrassetto"/>
          <w:rFonts w:ascii="Times New Roman" w:hAnsi="Times New Roman" w:cs="Times New Roman"/>
          <w:b w:val="0"/>
        </w:rPr>
        <w:t xml:space="preserve"> </w:t>
      </w:r>
      <w:r w:rsidR="00010D2F" w:rsidRPr="0041313F">
        <w:rPr>
          <w:rStyle w:val="Enfasigrassetto"/>
          <w:rFonts w:ascii="Times New Roman" w:hAnsi="Times New Roman" w:cs="Times New Roman"/>
          <w:b w:val="0"/>
        </w:rPr>
        <w:t>Quanto detto non compo</w:t>
      </w:r>
      <w:r w:rsidR="00B97E75" w:rsidRPr="0041313F">
        <w:rPr>
          <w:rStyle w:val="Enfasigrassetto"/>
          <w:rFonts w:ascii="Times New Roman" w:hAnsi="Times New Roman" w:cs="Times New Roman"/>
          <w:b w:val="0"/>
        </w:rPr>
        <w:t xml:space="preserve">rta naturalmente che la polizza </w:t>
      </w:r>
      <w:r w:rsidR="00010D2F" w:rsidRPr="0041313F">
        <w:rPr>
          <w:rStyle w:val="Enfasigrassetto"/>
          <w:rFonts w:ascii="Times New Roman" w:hAnsi="Times New Roman" w:cs="Times New Roman"/>
          <w:b w:val="0"/>
        </w:rPr>
        <w:t>venga sottoscritta da tutte le imprese, essendo necessario solamente che la garanzia sia operativa</w:t>
      </w:r>
      <w:r w:rsidR="00B97E75" w:rsidRPr="0041313F">
        <w:rPr>
          <w:rStyle w:val="Enfasigrassetto"/>
          <w:rFonts w:ascii="Times New Roman" w:hAnsi="Times New Roman" w:cs="Times New Roman"/>
          <w:b w:val="0"/>
        </w:rPr>
        <w:t xml:space="preserve"> </w:t>
      </w:r>
      <w:r w:rsidR="00010D2F" w:rsidRPr="0041313F">
        <w:rPr>
          <w:rStyle w:val="Enfasigrassetto"/>
          <w:rFonts w:ascii="Times New Roman" w:hAnsi="Times New Roman" w:cs="Times New Roman"/>
          <w:b w:val="0"/>
        </w:rPr>
        <w:t>nei confronti di tutti i partecipanti al raggruppamento ( T.A.R. Calabria Catanzaro, sez. I,</w:t>
      </w:r>
      <w:r w:rsidR="00B97E75" w:rsidRPr="0041313F">
        <w:rPr>
          <w:rStyle w:val="Enfasigrassetto"/>
          <w:rFonts w:ascii="Times New Roman" w:hAnsi="Times New Roman" w:cs="Times New Roman"/>
          <w:b w:val="0"/>
        </w:rPr>
        <w:t xml:space="preserve"> </w:t>
      </w:r>
      <w:r w:rsidR="00010D2F" w:rsidRPr="0041313F">
        <w:rPr>
          <w:rStyle w:val="Enfasigrassetto"/>
          <w:rFonts w:ascii="Times New Roman" w:hAnsi="Times New Roman" w:cs="Times New Roman"/>
          <w:b w:val="0"/>
        </w:rPr>
        <w:t>27 marzo 2008, n. 317).</w:t>
      </w:r>
      <w:r w:rsidR="00B97E75" w:rsidRPr="0041313F">
        <w:rPr>
          <w:rStyle w:val="Enfasigrassetto"/>
          <w:rFonts w:ascii="Times New Roman" w:hAnsi="Times New Roman" w:cs="Times New Roman"/>
          <w:b w:val="0"/>
        </w:rPr>
        <w:t xml:space="preserve"> Non solo, per effetto del comma 1 bis aggiunto all’art 46 del </w:t>
      </w:r>
      <w:proofErr w:type="spellStart"/>
      <w:r w:rsidR="00B97E75" w:rsidRPr="0041313F">
        <w:rPr>
          <w:rStyle w:val="Enfasigrassetto"/>
          <w:rFonts w:ascii="Times New Roman" w:hAnsi="Times New Roman" w:cs="Times New Roman"/>
          <w:b w:val="0"/>
        </w:rPr>
        <w:t>D.Lgs.</w:t>
      </w:r>
      <w:proofErr w:type="spellEnd"/>
      <w:r w:rsidR="00B97E75" w:rsidRPr="0041313F">
        <w:rPr>
          <w:rStyle w:val="Enfasigrassetto"/>
          <w:rFonts w:ascii="Times New Roman" w:hAnsi="Times New Roman" w:cs="Times New Roman"/>
          <w:b w:val="0"/>
        </w:rPr>
        <w:t xml:space="preserve"> n. 163/2006, la clausola del bando che dovesse richiedere la sottoscrizione della cauzione da parte delle imprese </w:t>
      </w:r>
      <w:proofErr w:type="spellStart"/>
      <w:r w:rsidR="00B97E75" w:rsidRPr="0041313F">
        <w:rPr>
          <w:rStyle w:val="Enfasigrassetto"/>
          <w:rFonts w:ascii="Times New Roman" w:hAnsi="Times New Roman" w:cs="Times New Roman"/>
          <w:b w:val="0"/>
        </w:rPr>
        <w:t>raggruppande</w:t>
      </w:r>
      <w:proofErr w:type="spellEnd"/>
      <w:r w:rsidR="000808A4">
        <w:rPr>
          <w:rStyle w:val="Enfasigrassetto"/>
          <w:rFonts w:ascii="Times New Roman" w:hAnsi="Times New Roman" w:cs="Times New Roman"/>
          <w:b w:val="0"/>
        </w:rPr>
        <w:t>, sarebbe</w:t>
      </w:r>
      <w:r w:rsidR="00135A01" w:rsidRPr="0041313F">
        <w:rPr>
          <w:rStyle w:val="Enfasigrassetto"/>
          <w:rFonts w:ascii="Times New Roman" w:hAnsi="Times New Roman" w:cs="Times New Roman"/>
          <w:b w:val="0"/>
        </w:rPr>
        <w:t xml:space="preserve"> nulla “</w:t>
      </w:r>
      <w:r w:rsidR="000808A4">
        <w:rPr>
          <w:rStyle w:val="Enfasigrassetto"/>
          <w:rFonts w:ascii="Times New Roman" w:hAnsi="Times New Roman" w:cs="Times New Roman"/>
          <w:b w:val="0"/>
        </w:rPr>
        <w:t>…</w:t>
      </w:r>
      <w:r w:rsidR="00135A01" w:rsidRPr="000808A4">
        <w:rPr>
          <w:rStyle w:val="Enfasigrassetto"/>
          <w:rFonts w:ascii="Times New Roman" w:hAnsi="Times New Roman" w:cs="Times New Roman"/>
          <w:b w:val="0"/>
          <w:i/>
        </w:rPr>
        <w:t>dovendosi considerare quale condizione di validità della polizza e, quindi, quale condizione di efficacia dell'offerta, sanzionabile - in mancanza - con l'esclusione, solo l'intestazione della stessa a tutti i partecipanti all'ATI, restando invece indifferente la sottoscrizione o meno da parte di ciascuno di essi</w:t>
      </w:r>
      <w:r w:rsidR="00135A01" w:rsidRPr="0041313F">
        <w:rPr>
          <w:rStyle w:val="Enfasigrassetto"/>
          <w:rFonts w:ascii="Times New Roman" w:hAnsi="Times New Roman" w:cs="Times New Roman"/>
          <w:b w:val="0"/>
        </w:rPr>
        <w:t>”(Tar Lazio, Roma 14 febbraio 2012 n. 1487).</w:t>
      </w:r>
    </w:p>
    <w:p w:rsidR="00135A01" w:rsidRPr="0041313F" w:rsidRDefault="00010D2F"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Diversamente da quanto avviene per le A.T.I.,</w:t>
      </w:r>
      <w:r w:rsidR="00135A01" w:rsidRPr="0041313F">
        <w:rPr>
          <w:rStyle w:val="Enfasigrassetto"/>
          <w:rFonts w:ascii="Times New Roman" w:hAnsi="Times New Roman" w:cs="Times New Roman"/>
          <w:b w:val="0"/>
        </w:rPr>
        <w:t xml:space="preserve"> nessuna disposizione normativa </w:t>
      </w:r>
      <w:r w:rsidR="00F20DB2">
        <w:rPr>
          <w:rStyle w:val="Enfasigrassetto"/>
          <w:rFonts w:ascii="Times New Roman" w:hAnsi="Times New Roman" w:cs="Times New Roman"/>
          <w:b w:val="0"/>
        </w:rPr>
        <w:t>prevede che per i c</w:t>
      </w:r>
      <w:r w:rsidRPr="0041313F">
        <w:rPr>
          <w:rStyle w:val="Enfasigrassetto"/>
          <w:rFonts w:ascii="Times New Roman" w:hAnsi="Times New Roman" w:cs="Times New Roman"/>
          <w:b w:val="0"/>
        </w:rPr>
        <w:t xml:space="preserve">onsorzi </w:t>
      </w:r>
      <w:r w:rsidR="00135A01" w:rsidRPr="0041313F">
        <w:rPr>
          <w:rStyle w:val="Enfasigrassetto"/>
          <w:rFonts w:ascii="Times New Roman" w:hAnsi="Times New Roman" w:cs="Times New Roman"/>
          <w:b w:val="0"/>
        </w:rPr>
        <w:t xml:space="preserve">stabili o di produzione lavoro </w:t>
      </w:r>
      <w:r w:rsidRPr="0041313F">
        <w:rPr>
          <w:rStyle w:val="Enfasigrassetto"/>
          <w:rFonts w:ascii="Times New Roman" w:hAnsi="Times New Roman" w:cs="Times New Roman"/>
          <w:b w:val="0"/>
        </w:rPr>
        <w:t>la cauzione debba essere intestata, oltre</w:t>
      </w:r>
      <w:r w:rsidR="00135A01" w:rsidRPr="0041313F">
        <w:rPr>
          <w:rStyle w:val="Enfasigrassetto"/>
          <w:rFonts w:ascii="Times New Roman" w:hAnsi="Times New Roman" w:cs="Times New Roman"/>
          <w:b w:val="0"/>
        </w:rPr>
        <w:t xml:space="preserve"> </w:t>
      </w:r>
      <w:r w:rsidR="00F20DB2">
        <w:rPr>
          <w:rStyle w:val="Enfasigrassetto"/>
          <w:rFonts w:ascii="Times New Roman" w:hAnsi="Times New Roman" w:cs="Times New Roman"/>
          <w:b w:val="0"/>
        </w:rPr>
        <w:t>che al c</w:t>
      </w:r>
      <w:r w:rsidR="000808A4">
        <w:rPr>
          <w:rStyle w:val="Enfasigrassetto"/>
          <w:rFonts w:ascii="Times New Roman" w:hAnsi="Times New Roman" w:cs="Times New Roman"/>
          <w:b w:val="0"/>
        </w:rPr>
        <w:t>onsorzio, anche alle consorziate</w:t>
      </w:r>
      <w:r w:rsidRPr="0041313F">
        <w:rPr>
          <w:rStyle w:val="Enfasigrassetto"/>
          <w:rFonts w:ascii="Times New Roman" w:hAnsi="Times New Roman" w:cs="Times New Roman"/>
          <w:b w:val="0"/>
        </w:rPr>
        <w:t>.</w:t>
      </w:r>
      <w:r w:rsidR="00135A01" w:rsidRPr="0041313F">
        <w:rPr>
          <w:rStyle w:val="Enfasigrassetto"/>
          <w:rFonts w:ascii="Times New Roman" w:hAnsi="Times New Roman" w:cs="Times New Roman"/>
          <w:b w:val="0"/>
        </w:rPr>
        <w:t xml:space="preserve"> Anzi, si segnala una recente giurisprudenza che esc</w:t>
      </w:r>
      <w:r w:rsidR="000808A4">
        <w:rPr>
          <w:rStyle w:val="Enfasigrassetto"/>
          <w:rFonts w:ascii="Times New Roman" w:hAnsi="Times New Roman" w:cs="Times New Roman"/>
          <w:b w:val="0"/>
        </w:rPr>
        <w:t>lude espressamente tale onere per i</w:t>
      </w:r>
      <w:r w:rsidR="00135A01" w:rsidRPr="0041313F">
        <w:rPr>
          <w:rStyle w:val="Enfasigrassetto"/>
          <w:rFonts w:ascii="Times New Roman" w:hAnsi="Times New Roman" w:cs="Times New Roman"/>
          <w:b w:val="0"/>
        </w:rPr>
        <w:t xml:space="preserve"> Consorzi stabili</w:t>
      </w:r>
      <w:r w:rsidR="000808A4">
        <w:rPr>
          <w:rStyle w:val="Enfasigrassetto"/>
          <w:rFonts w:ascii="Times New Roman" w:hAnsi="Times New Roman" w:cs="Times New Roman"/>
          <w:b w:val="0"/>
        </w:rPr>
        <w:t>,</w:t>
      </w:r>
      <w:r w:rsidR="00135A01" w:rsidRPr="0041313F">
        <w:rPr>
          <w:rStyle w:val="Enfasigrassetto"/>
          <w:rFonts w:ascii="Times New Roman" w:hAnsi="Times New Roman" w:cs="Times New Roman"/>
          <w:b w:val="0"/>
        </w:rPr>
        <w:t xml:space="preserve"> in ragione della differe</w:t>
      </w:r>
      <w:r w:rsidR="00F20DB2">
        <w:rPr>
          <w:rStyle w:val="Enfasigrassetto"/>
          <w:rFonts w:ascii="Times New Roman" w:hAnsi="Times New Roman" w:cs="Times New Roman"/>
          <w:b w:val="0"/>
        </w:rPr>
        <w:t>nte natura del consorzio in questione</w:t>
      </w:r>
      <w:r w:rsidR="000808A4">
        <w:rPr>
          <w:rStyle w:val="Enfasigrassetto"/>
          <w:rFonts w:ascii="Times New Roman" w:hAnsi="Times New Roman" w:cs="Times New Roman"/>
          <w:b w:val="0"/>
        </w:rPr>
        <w:t>,</w:t>
      </w:r>
      <w:r w:rsidR="00135A01" w:rsidRPr="0041313F">
        <w:rPr>
          <w:rStyle w:val="Enfasigrassetto"/>
          <w:rFonts w:ascii="Times New Roman" w:hAnsi="Times New Roman" w:cs="Times New Roman"/>
          <w:b w:val="0"/>
        </w:rPr>
        <w:t xml:space="preserve"> notoriamente </w:t>
      </w:r>
      <w:r w:rsidR="000808A4">
        <w:rPr>
          <w:rStyle w:val="Enfasigrassetto"/>
          <w:rFonts w:ascii="Times New Roman" w:hAnsi="Times New Roman" w:cs="Times New Roman"/>
          <w:b w:val="0"/>
        </w:rPr>
        <w:t xml:space="preserve">considerato come </w:t>
      </w:r>
      <w:r w:rsidR="00135A01" w:rsidRPr="0041313F">
        <w:rPr>
          <w:rStyle w:val="Enfasigrassetto"/>
          <w:rFonts w:ascii="Times New Roman" w:hAnsi="Times New Roman" w:cs="Times New Roman"/>
          <w:b w:val="0"/>
        </w:rPr>
        <w:t>un soggetto giuridi</w:t>
      </w:r>
      <w:r w:rsidR="007A36DC">
        <w:rPr>
          <w:rStyle w:val="Enfasigrassetto"/>
          <w:rFonts w:ascii="Times New Roman" w:hAnsi="Times New Roman" w:cs="Times New Roman"/>
          <w:b w:val="0"/>
        </w:rPr>
        <w:t xml:space="preserve">co distinto dai consorziati ed </w:t>
      </w:r>
      <w:r w:rsidR="00135A01" w:rsidRPr="0041313F">
        <w:rPr>
          <w:rStyle w:val="Enfasigrassetto"/>
          <w:rFonts w:ascii="Times New Roman" w:hAnsi="Times New Roman" w:cs="Times New Roman"/>
          <w:b w:val="0"/>
        </w:rPr>
        <w:t>unica controparte nell'ambito del rapporto di appalto (T.A.R.  sez. III  Palermo , Sicilia 12/11/2012 n. 2320).</w:t>
      </w:r>
    </w:p>
    <w:p w:rsidR="00736141" w:rsidRPr="0041313F" w:rsidRDefault="003B5B4D" w:rsidP="00483477">
      <w:pPr>
        <w:pStyle w:val="Nessunaspaziatura"/>
        <w:numPr>
          <w:ilvl w:val="0"/>
          <w:numId w:val="12"/>
        </w:numPr>
        <w:spacing w:line="360" w:lineRule="auto"/>
        <w:ind w:left="0" w:hanging="284"/>
        <w:jc w:val="both"/>
        <w:rPr>
          <w:rStyle w:val="Enfasigrassetto"/>
          <w:rFonts w:ascii="Times New Roman" w:hAnsi="Times New Roman" w:cs="Times New Roman"/>
          <w:b w:val="0"/>
        </w:rPr>
      </w:pPr>
      <w:r>
        <w:rPr>
          <w:rStyle w:val="Enfasigrassetto"/>
          <w:rFonts w:ascii="Times New Roman" w:hAnsi="Times New Roman" w:cs="Times New Roman"/>
        </w:rPr>
        <w:t>La v</w:t>
      </w:r>
      <w:r w:rsidR="00736141" w:rsidRPr="00DF4F69">
        <w:rPr>
          <w:rStyle w:val="Enfasigrassetto"/>
          <w:rFonts w:ascii="Times New Roman" w:hAnsi="Times New Roman" w:cs="Times New Roman"/>
        </w:rPr>
        <w:t>alidità della garanzia</w:t>
      </w:r>
    </w:p>
    <w:p w:rsidR="00DF4F69" w:rsidRDefault="00736141"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La garanzia provvisoria deve avere u</w:t>
      </w:r>
      <w:r w:rsidR="007A36DC">
        <w:rPr>
          <w:rStyle w:val="Enfasigrassetto"/>
          <w:rFonts w:ascii="Times New Roman" w:hAnsi="Times New Roman" w:cs="Times New Roman"/>
          <w:b w:val="0"/>
        </w:rPr>
        <w:t xml:space="preserve">na validità non inferiore a centottanta </w:t>
      </w:r>
      <w:r w:rsidRPr="0041313F">
        <w:rPr>
          <w:rStyle w:val="Enfasigrassetto"/>
          <w:rFonts w:ascii="Times New Roman" w:hAnsi="Times New Roman" w:cs="Times New Roman"/>
          <w:b w:val="0"/>
        </w:rPr>
        <w:t>giorni dalla data di presentazione</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dell’offerta. Su quale sia il </w:t>
      </w:r>
      <w:proofErr w:type="spellStart"/>
      <w:r w:rsidRPr="0041313F">
        <w:rPr>
          <w:rStyle w:val="Enfasigrassetto"/>
          <w:rFonts w:ascii="Times New Roman" w:hAnsi="Times New Roman" w:cs="Times New Roman"/>
          <w:b w:val="0"/>
        </w:rPr>
        <w:t>dies</w:t>
      </w:r>
      <w:proofErr w:type="spellEnd"/>
      <w:r w:rsidRPr="0041313F">
        <w:rPr>
          <w:rStyle w:val="Enfasigrassetto"/>
          <w:rFonts w:ascii="Times New Roman" w:hAnsi="Times New Roman" w:cs="Times New Roman"/>
          <w:b w:val="0"/>
        </w:rPr>
        <w:t xml:space="preserve"> a quo per il computo della sua durata ci sono stati divergenti orientamenti.</w:t>
      </w:r>
    </w:p>
    <w:p w:rsidR="00DF4F69" w:rsidRDefault="00736141"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Ci si chiedeva se il termine dovesse decorrere dalla data di presentazione della singola offerta</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o dalla data di scadenza per la presentazione di tutte le offerte. La giurisprudenza ha preferito</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la seconda interpretazione, sul presupposto del combinato disposto dell’art. 11 comma 6 del Codice – il quale prevede che l’offerta sia vincolante per il periodo indicato nel bando o nell’invito e, in caso di mancata indicazione, per centottanta giorni, decorrenti dalla scadenza del termine per la sua presentazione – e dell’art. 75 comma 5 del Codice – il quale dispone che la garanzia debba avere validità per almeno centottanta giorni dalla data di presentazione dell’offerta. Il legislatore</w:t>
      </w:r>
      <w:r w:rsidR="007A36DC">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 in tal modo</w:t>
      </w:r>
      <w:r w:rsidR="007A36DC">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 avrebbe inteso equiparare i termini minimi di irrevocabilità dell’offerta ai termini di durata minima della cauzione, stante </w:t>
      </w:r>
      <w:r w:rsidR="007A36DC">
        <w:rPr>
          <w:rStyle w:val="Enfasigrassetto"/>
          <w:rFonts w:ascii="Times New Roman" w:hAnsi="Times New Roman" w:cs="Times New Roman"/>
          <w:b w:val="0"/>
        </w:rPr>
        <w:t>la duplice finalità di quest’ultima</w:t>
      </w:r>
      <w:r w:rsidRPr="0041313F">
        <w:rPr>
          <w:rStyle w:val="Enfasigrassetto"/>
          <w:rFonts w:ascii="Times New Roman" w:hAnsi="Times New Roman" w:cs="Times New Roman"/>
          <w:b w:val="0"/>
        </w:rPr>
        <w:t xml:space="preserve"> di garantire la stazione appaltante dall’eventuale mancata sottoscrizione del contrat</w:t>
      </w:r>
      <w:r w:rsidR="007A36DC">
        <w:rPr>
          <w:rStyle w:val="Enfasigrassetto"/>
          <w:rFonts w:ascii="Times New Roman" w:hAnsi="Times New Roman" w:cs="Times New Roman"/>
          <w:b w:val="0"/>
        </w:rPr>
        <w:t>to da parte dell’aggiudicatario e</w:t>
      </w:r>
      <w:r w:rsidRPr="0041313F">
        <w:rPr>
          <w:rStyle w:val="Enfasigrassetto"/>
          <w:rFonts w:ascii="Times New Roman" w:hAnsi="Times New Roman" w:cs="Times New Roman"/>
          <w:b w:val="0"/>
        </w:rPr>
        <w:t xml:space="preserve"> di assicurare</w:t>
      </w:r>
      <w:r w:rsidR="007A36DC">
        <w:rPr>
          <w:rStyle w:val="Enfasigrassetto"/>
          <w:rFonts w:ascii="Times New Roman" w:hAnsi="Times New Roman" w:cs="Times New Roman"/>
          <w:b w:val="0"/>
        </w:rPr>
        <w:t>, altresì,</w:t>
      </w:r>
      <w:r w:rsidRPr="0041313F">
        <w:rPr>
          <w:rStyle w:val="Enfasigrassetto"/>
          <w:rFonts w:ascii="Times New Roman" w:hAnsi="Times New Roman" w:cs="Times New Roman"/>
          <w:b w:val="0"/>
        </w:rPr>
        <w:t xml:space="preserve"> l’affidabilità e la serietà dell’offerta presentata fino al momento della stipula del contratto e della presenta</w:t>
      </w:r>
      <w:r w:rsidR="007A36DC">
        <w:rPr>
          <w:rStyle w:val="Enfasigrassetto"/>
          <w:rFonts w:ascii="Times New Roman" w:hAnsi="Times New Roman" w:cs="Times New Roman"/>
          <w:b w:val="0"/>
        </w:rPr>
        <w:t>zione della cauzione definitiva</w:t>
      </w:r>
      <w:r w:rsidRPr="0041313F">
        <w:rPr>
          <w:rStyle w:val="Enfasigrassetto"/>
          <w:rFonts w:ascii="Times New Roman" w:hAnsi="Times New Roman" w:cs="Times New Roman"/>
          <w:b w:val="0"/>
        </w:rPr>
        <w:t xml:space="preserve"> (Tar Calabria, Catanzaro 6 giugno 2012 n. 537;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xml:space="preserve">. Stato, Sez. VI, </w:t>
      </w:r>
      <w:proofErr w:type="spellStart"/>
      <w:r w:rsidRPr="0041313F">
        <w:rPr>
          <w:rStyle w:val="Enfasigrassetto"/>
          <w:rFonts w:ascii="Times New Roman" w:hAnsi="Times New Roman" w:cs="Times New Roman"/>
          <w:b w:val="0"/>
        </w:rPr>
        <w:t>sent</w:t>
      </w:r>
      <w:proofErr w:type="spellEnd"/>
      <w:r w:rsidRPr="0041313F">
        <w:rPr>
          <w:rStyle w:val="Enfasigrassetto"/>
          <w:rFonts w:ascii="Times New Roman" w:hAnsi="Times New Roman" w:cs="Times New Roman"/>
          <w:b w:val="0"/>
        </w:rPr>
        <w:t>. n. 6211, 11.12.2001; AVCP Parere n.54 del 23/04/2009).</w:t>
      </w:r>
    </w:p>
    <w:p w:rsidR="00736141" w:rsidRPr="0041313F" w:rsidRDefault="00736141"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Il comma 5 dell’art. 75 consente alle stazioni appaltanti di richiedere, nel bando o nell’invito, un</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termine della g</w:t>
      </w:r>
      <w:r w:rsidR="007A36DC">
        <w:rPr>
          <w:rStyle w:val="Enfasigrassetto"/>
          <w:rFonts w:ascii="Times New Roman" w:hAnsi="Times New Roman" w:cs="Times New Roman"/>
          <w:b w:val="0"/>
        </w:rPr>
        <w:t>aranzia maggiore o minore di centottanta</w:t>
      </w:r>
      <w:r w:rsidRPr="0041313F">
        <w:rPr>
          <w:rStyle w:val="Enfasigrassetto"/>
          <w:rFonts w:ascii="Times New Roman" w:hAnsi="Times New Roman" w:cs="Times New Roman"/>
          <w:b w:val="0"/>
        </w:rPr>
        <w:t xml:space="preserve"> giorni</w:t>
      </w:r>
      <w:r w:rsidR="007A36DC">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nonché l’impegno del garante di rinnovare</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la garanzia per la stessa durata indicata nel bando nel caso in cui alla scadenza non sia avvenuta</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lastRenderedPageBreak/>
        <w:t>l’aggiudicazione. È evidente la funzione della norma di tutelare la stazione appaltante contro i</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notori inconvenienti, gli imprevisti e i ritardi che, di regola, affliggono, le procedure di gara degli</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appalti pubblici, tali da ostacolare l’esito e la tempestiva sottoscrizione dei relativi contratti.</w:t>
      </w:r>
    </w:p>
    <w:p w:rsidR="00010D2F" w:rsidRPr="0041313F" w:rsidRDefault="003B5B4D" w:rsidP="00483477">
      <w:pPr>
        <w:pStyle w:val="Nessunaspaziatura"/>
        <w:numPr>
          <w:ilvl w:val="0"/>
          <w:numId w:val="12"/>
        </w:numPr>
        <w:spacing w:line="360" w:lineRule="auto"/>
        <w:ind w:left="0" w:hanging="284"/>
        <w:jc w:val="both"/>
        <w:rPr>
          <w:rStyle w:val="Enfasigrassetto"/>
          <w:rFonts w:ascii="Times New Roman" w:hAnsi="Times New Roman" w:cs="Times New Roman"/>
          <w:b w:val="0"/>
        </w:rPr>
      </w:pPr>
      <w:r>
        <w:rPr>
          <w:rStyle w:val="Enfasigrassetto"/>
          <w:rFonts w:ascii="Times New Roman" w:hAnsi="Times New Roman" w:cs="Times New Roman"/>
        </w:rPr>
        <w:t>La r</w:t>
      </w:r>
      <w:r w:rsidR="00010D2F" w:rsidRPr="00DF4F69">
        <w:rPr>
          <w:rStyle w:val="Enfasigrassetto"/>
          <w:rFonts w:ascii="Times New Roman" w:hAnsi="Times New Roman" w:cs="Times New Roman"/>
        </w:rPr>
        <w:t xml:space="preserve">iduzione </w:t>
      </w:r>
      <w:r w:rsidR="0031006E" w:rsidRPr="00DF4F69">
        <w:rPr>
          <w:rStyle w:val="Enfasigrassetto"/>
          <w:rFonts w:ascii="Times New Roman" w:hAnsi="Times New Roman" w:cs="Times New Roman"/>
        </w:rPr>
        <w:t xml:space="preserve">e </w:t>
      </w:r>
      <w:r>
        <w:rPr>
          <w:rStyle w:val="Enfasigrassetto"/>
          <w:rFonts w:ascii="Times New Roman" w:hAnsi="Times New Roman" w:cs="Times New Roman"/>
        </w:rPr>
        <w:t xml:space="preserve">lo </w:t>
      </w:r>
      <w:r w:rsidR="0031006E" w:rsidRPr="00DF4F69">
        <w:rPr>
          <w:rStyle w:val="Enfasigrassetto"/>
          <w:rFonts w:ascii="Times New Roman" w:hAnsi="Times New Roman" w:cs="Times New Roman"/>
        </w:rPr>
        <w:t xml:space="preserve">svincolo </w:t>
      </w:r>
      <w:r w:rsidR="00010D2F" w:rsidRPr="00DF4F69">
        <w:rPr>
          <w:rStyle w:val="Enfasigrassetto"/>
          <w:rFonts w:ascii="Times New Roman" w:hAnsi="Times New Roman" w:cs="Times New Roman"/>
        </w:rPr>
        <w:t>della garanzia</w:t>
      </w:r>
    </w:p>
    <w:p w:rsidR="00010D2F" w:rsidRPr="0041313F" w:rsidRDefault="00010D2F"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Il comma 7 dell’art. 75 cont</w:t>
      </w:r>
      <w:r w:rsidR="00893779" w:rsidRPr="0041313F">
        <w:rPr>
          <w:rStyle w:val="Enfasigrassetto"/>
          <w:rFonts w:ascii="Times New Roman" w:hAnsi="Times New Roman" w:cs="Times New Roman"/>
          <w:b w:val="0"/>
        </w:rPr>
        <w:t xml:space="preserve">iene una disposizione di favore </w:t>
      </w:r>
      <w:r w:rsidRPr="0041313F">
        <w:rPr>
          <w:rStyle w:val="Enfasigrassetto"/>
          <w:rFonts w:ascii="Times New Roman" w:hAnsi="Times New Roman" w:cs="Times New Roman"/>
          <w:b w:val="0"/>
        </w:rPr>
        <w:t>nei confronti delle imprese che abbiano conseguito</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la certificazione del siste</w:t>
      </w:r>
      <w:r w:rsidR="00893779" w:rsidRPr="0041313F">
        <w:rPr>
          <w:rStyle w:val="Enfasigrassetto"/>
          <w:rFonts w:ascii="Times New Roman" w:hAnsi="Times New Roman" w:cs="Times New Roman"/>
          <w:b w:val="0"/>
        </w:rPr>
        <w:t xml:space="preserve">ma di qualità, rilasciata dagli </w:t>
      </w:r>
      <w:r w:rsidRPr="0041313F">
        <w:rPr>
          <w:rStyle w:val="Enfasigrassetto"/>
          <w:rFonts w:ascii="Times New Roman" w:hAnsi="Times New Roman" w:cs="Times New Roman"/>
          <w:b w:val="0"/>
        </w:rPr>
        <w:t>organismi accreditati e secondo gli standard internazionali,</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conformemente all</w:t>
      </w:r>
      <w:r w:rsidR="00893779" w:rsidRPr="0041313F">
        <w:rPr>
          <w:rStyle w:val="Enfasigrassetto"/>
          <w:rFonts w:ascii="Times New Roman" w:hAnsi="Times New Roman" w:cs="Times New Roman"/>
          <w:b w:val="0"/>
        </w:rPr>
        <w:t xml:space="preserve">e norme della serie UNI CEI ISO </w:t>
      </w:r>
      <w:r w:rsidRPr="0041313F">
        <w:rPr>
          <w:rStyle w:val="Enfasigrassetto"/>
          <w:rFonts w:ascii="Times New Roman" w:hAnsi="Times New Roman" w:cs="Times New Roman"/>
          <w:b w:val="0"/>
        </w:rPr>
        <w:t>9000. Prima della riforma operata con il Terzo decreto</w:t>
      </w:r>
      <w:r w:rsidR="00893779" w:rsidRPr="0041313F">
        <w:rPr>
          <w:rStyle w:val="Enfasigrassetto"/>
          <w:rFonts w:ascii="Times New Roman" w:hAnsi="Times New Roman" w:cs="Times New Roman"/>
          <w:b w:val="0"/>
        </w:rPr>
        <w:t xml:space="preserve"> </w:t>
      </w:r>
      <w:r w:rsidR="00F20DB2">
        <w:rPr>
          <w:rStyle w:val="Enfasigrassetto"/>
          <w:rFonts w:ascii="Times New Roman" w:hAnsi="Times New Roman" w:cs="Times New Roman"/>
          <w:b w:val="0"/>
        </w:rPr>
        <w:t>correttivo</w:t>
      </w:r>
      <w:r w:rsidRPr="0041313F">
        <w:rPr>
          <w:rStyle w:val="Enfasigrassetto"/>
          <w:rFonts w:ascii="Times New Roman" w:hAnsi="Times New Roman" w:cs="Times New Roman"/>
          <w:b w:val="0"/>
        </w:rPr>
        <w:t xml:space="preserve"> la norma stab</w:t>
      </w:r>
      <w:r w:rsidR="00893779" w:rsidRPr="0041313F">
        <w:rPr>
          <w:rStyle w:val="Enfasigrassetto"/>
          <w:rFonts w:ascii="Times New Roman" w:hAnsi="Times New Roman" w:cs="Times New Roman"/>
          <w:b w:val="0"/>
        </w:rPr>
        <w:t xml:space="preserve">iliva, invero, che la riduzione </w:t>
      </w:r>
      <w:r w:rsidRPr="0041313F">
        <w:rPr>
          <w:rStyle w:val="Enfasigrassetto"/>
          <w:rFonts w:ascii="Times New Roman" w:hAnsi="Times New Roman" w:cs="Times New Roman"/>
          <w:b w:val="0"/>
        </w:rPr>
        <w:t>del 50% dell’importo della garanzia venisse applicato</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anche in caso di dichiaraz</w:t>
      </w:r>
      <w:r w:rsidR="00893779" w:rsidRPr="0041313F">
        <w:rPr>
          <w:rStyle w:val="Enfasigrassetto"/>
          <w:rFonts w:ascii="Times New Roman" w:hAnsi="Times New Roman" w:cs="Times New Roman"/>
          <w:b w:val="0"/>
        </w:rPr>
        <w:t xml:space="preserve">ione attestante la presenza, in </w:t>
      </w:r>
      <w:r w:rsidRPr="0041313F">
        <w:rPr>
          <w:rStyle w:val="Enfasigrassetto"/>
          <w:rFonts w:ascii="Times New Roman" w:hAnsi="Times New Roman" w:cs="Times New Roman"/>
          <w:b w:val="0"/>
        </w:rPr>
        <w:t>capo all’operatore economico, di elementi significativi</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e tra loro correlati del sistema di qualità conforme alle</w:t>
      </w:r>
      <w:r w:rsidR="00752A74" w:rsidRPr="0041313F">
        <w:rPr>
          <w:rStyle w:val="Enfasigrassetto"/>
          <w:rFonts w:ascii="Times New Roman" w:hAnsi="Times New Roman" w:cs="Times New Roman"/>
          <w:b w:val="0"/>
        </w:rPr>
        <w:t xml:space="preserve"> </w:t>
      </w:r>
      <w:r w:rsidR="007A36DC">
        <w:rPr>
          <w:rStyle w:val="Enfasigrassetto"/>
          <w:rFonts w:ascii="Times New Roman" w:hAnsi="Times New Roman" w:cs="Times New Roman"/>
          <w:b w:val="0"/>
        </w:rPr>
        <w:t>norme UNI CEI ISO 9000; t</w:t>
      </w:r>
      <w:r w:rsidRPr="0041313F">
        <w:rPr>
          <w:rStyle w:val="Enfasigrassetto"/>
          <w:rFonts w:ascii="Times New Roman" w:hAnsi="Times New Roman" w:cs="Times New Roman"/>
          <w:b w:val="0"/>
        </w:rPr>
        <w:t>ale dichiarazione, poiché</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prevista per un tempo limitato ed ora non più dovuta, è</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stata abrogata dal </w:t>
      </w:r>
      <w:proofErr w:type="spellStart"/>
      <w:r w:rsidRPr="0041313F">
        <w:rPr>
          <w:rStyle w:val="Enfasigrassetto"/>
          <w:rFonts w:ascii="Times New Roman" w:hAnsi="Times New Roman" w:cs="Times New Roman"/>
          <w:b w:val="0"/>
        </w:rPr>
        <w:t>D.Lgs.</w:t>
      </w:r>
      <w:proofErr w:type="spellEnd"/>
      <w:r w:rsidRPr="0041313F">
        <w:rPr>
          <w:rStyle w:val="Enfasigrassetto"/>
          <w:rFonts w:ascii="Times New Roman" w:hAnsi="Times New Roman" w:cs="Times New Roman"/>
          <w:b w:val="0"/>
        </w:rPr>
        <w:t xml:space="preserve"> n</w:t>
      </w:r>
      <w:r w:rsidR="00893779" w:rsidRPr="0041313F">
        <w:rPr>
          <w:rStyle w:val="Enfasigrassetto"/>
          <w:rFonts w:ascii="Times New Roman" w:hAnsi="Times New Roman" w:cs="Times New Roman"/>
          <w:b w:val="0"/>
        </w:rPr>
        <w:t>. 152/2008</w:t>
      </w:r>
      <w:r w:rsidRPr="0041313F">
        <w:rPr>
          <w:rStyle w:val="Enfasigrassetto"/>
          <w:rFonts w:ascii="Times New Roman" w:hAnsi="Times New Roman" w:cs="Times New Roman"/>
          <w:b w:val="0"/>
        </w:rPr>
        <w:t>.</w:t>
      </w:r>
    </w:p>
    <w:p w:rsidR="00010D2F" w:rsidRPr="0041313F" w:rsidRDefault="00010D2F"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 xml:space="preserve">Il possesso della certificazione </w:t>
      </w:r>
      <w:r w:rsidR="00F20DB2">
        <w:rPr>
          <w:rStyle w:val="Enfasigrassetto"/>
          <w:rFonts w:ascii="Times New Roman" w:hAnsi="Times New Roman" w:cs="Times New Roman"/>
          <w:b w:val="0"/>
        </w:rPr>
        <w:t xml:space="preserve">di qualità </w:t>
      </w:r>
      <w:r w:rsidRPr="0041313F">
        <w:rPr>
          <w:rStyle w:val="Enfasigrassetto"/>
          <w:rFonts w:ascii="Times New Roman" w:hAnsi="Times New Roman" w:cs="Times New Roman"/>
          <w:b w:val="0"/>
        </w:rPr>
        <w:t>fa presumere l’idoneità e</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l’affidabilità dell’operatore economico in ordine all’espletamento dei lavori, forniture o servizi</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della stessa natura di quelli oggetto dell’appalto.</w:t>
      </w:r>
      <w:r w:rsidR="007A36DC">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La norma prevede, pertanto, che per le imprese in possesso della suindicata certificazione</w:t>
      </w:r>
      <w:r w:rsidR="007A36DC">
        <w:rPr>
          <w:rStyle w:val="Enfasigrassetto"/>
          <w:rFonts w:ascii="Times New Roman" w:hAnsi="Times New Roman" w:cs="Times New Roman"/>
          <w:b w:val="0"/>
        </w:rPr>
        <w:t xml:space="preserve"> venga</w:t>
      </w:r>
      <w:r w:rsidRPr="0041313F">
        <w:rPr>
          <w:rStyle w:val="Enfasigrassetto"/>
          <w:rFonts w:ascii="Times New Roman" w:hAnsi="Times New Roman" w:cs="Times New Roman"/>
          <w:b w:val="0"/>
        </w:rPr>
        <w:t xml:space="preserve"> dimezzato l’importo della garanzia.</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È discusso, tuttavia, se il partecipante debba presentare in sede di offerta, oltre alla documentazione</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dimostrante il possesso della certificazione del sistema di qualità, anche una dichiarazione</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di volersi avvalere della ri</w:t>
      </w:r>
      <w:r w:rsidR="00893779" w:rsidRPr="0041313F">
        <w:rPr>
          <w:rStyle w:val="Enfasigrassetto"/>
          <w:rFonts w:ascii="Times New Roman" w:hAnsi="Times New Roman" w:cs="Times New Roman"/>
          <w:b w:val="0"/>
        </w:rPr>
        <w:t xml:space="preserve">duzione del 50% della cauzione. </w:t>
      </w:r>
      <w:r w:rsidR="00343ED2">
        <w:rPr>
          <w:rStyle w:val="Enfasigrassetto"/>
          <w:rFonts w:ascii="Times New Roman" w:hAnsi="Times New Roman" w:cs="Times New Roman"/>
          <w:b w:val="0"/>
        </w:rPr>
        <w:t>Secondo un indirizzo</w:t>
      </w:r>
      <w:r w:rsidR="00752A74"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giurisprudenz</w:t>
      </w:r>
      <w:r w:rsidR="00343ED2">
        <w:rPr>
          <w:rStyle w:val="Enfasigrassetto"/>
          <w:rFonts w:ascii="Times New Roman" w:hAnsi="Times New Roman" w:cs="Times New Roman"/>
          <w:b w:val="0"/>
        </w:rPr>
        <w:t>i</w:t>
      </w:r>
      <w:r w:rsidRPr="0041313F">
        <w:rPr>
          <w:rStyle w:val="Enfasigrassetto"/>
          <w:rFonts w:ascii="Times New Roman" w:hAnsi="Times New Roman" w:cs="Times New Roman"/>
          <w:b w:val="0"/>
        </w:rPr>
        <w:t>a</w:t>
      </w:r>
      <w:r w:rsidR="00343ED2">
        <w:rPr>
          <w:rStyle w:val="Enfasigrassetto"/>
          <w:rFonts w:ascii="Times New Roman" w:hAnsi="Times New Roman" w:cs="Times New Roman"/>
          <w:b w:val="0"/>
        </w:rPr>
        <w:t>le</w:t>
      </w:r>
      <w:r w:rsidRPr="0041313F">
        <w:rPr>
          <w:rStyle w:val="Enfasigrassetto"/>
          <w:rFonts w:ascii="Times New Roman" w:hAnsi="Times New Roman" w:cs="Times New Roman"/>
          <w:b w:val="0"/>
        </w:rPr>
        <w:t xml:space="preserve">, il beneficio della </w:t>
      </w:r>
      <w:r w:rsidR="00343ED2">
        <w:rPr>
          <w:rStyle w:val="Enfasigrassetto"/>
          <w:rFonts w:ascii="Times New Roman" w:hAnsi="Times New Roman" w:cs="Times New Roman"/>
          <w:b w:val="0"/>
        </w:rPr>
        <w:t>riduzione della cauzione postulerebbe</w:t>
      </w:r>
      <w:r w:rsidRPr="0041313F">
        <w:rPr>
          <w:rStyle w:val="Enfasigrassetto"/>
          <w:rFonts w:ascii="Times New Roman" w:hAnsi="Times New Roman" w:cs="Times New Roman"/>
          <w:b w:val="0"/>
        </w:rPr>
        <w:t xml:space="preserve"> (oltre,</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alla ovvia dimostrazione documentale circa il possess</w:t>
      </w:r>
      <w:r w:rsidR="00343ED2">
        <w:rPr>
          <w:rStyle w:val="Enfasigrassetto"/>
          <w:rFonts w:ascii="Times New Roman" w:hAnsi="Times New Roman" w:cs="Times New Roman"/>
          <w:b w:val="0"/>
        </w:rPr>
        <w:t xml:space="preserve">o di tale requisito) </w:t>
      </w:r>
      <w:r w:rsidRPr="0041313F">
        <w:rPr>
          <w:rStyle w:val="Enfasigrassetto"/>
          <w:rFonts w:ascii="Times New Roman" w:hAnsi="Times New Roman" w:cs="Times New Roman"/>
          <w:b w:val="0"/>
        </w:rPr>
        <w:t>una</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manifestazione di volontà dell’impresa di v</w:t>
      </w:r>
      <w:r w:rsidR="00343ED2">
        <w:rPr>
          <w:rStyle w:val="Enfasigrassetto"/>
          <w:rFonts w:ascii="Times New Roman" w:hAnsi="Times New Roman" w:cs="Times New Roman"/>
          <w:b w:val="0"/>
        </w:rPr>
        <w:t>olersi avvalere della riduzione,</w:t>
      </w:r>
      <w:r w:rsidRPr="0041313F">
        <w:rPr>
          <w:rStyle w:val="Enfasigrassetto"/>
          <w:rFonts w:ascii="Times New Roman" w:hAnsi="Times New Roman" w:cs="Times New Roman"/>
          <w:b w:val="0"/>
        </w:rPr>
        <w:t xml:space="preserve"> dichiarazione</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in mancanza della quale la stazione appaltante si troverebbe di fronte ad una garanzia</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di importo ingiustificatamente dimezzato e tale circostanza, oggettivamente considerata,</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integrerebbe addirittura gli estremi di una legittima causa di esclusione (T.A.R. Lazio, Roma,</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sez. II, 14.3.2011, n. 2310; T.A.R. Campania, sez. VIII, 9.3.2010, n. 1331; </w:t>
      </w:r>
      <w:proofErr w:type="spellStart"/>
      <w:r w:rsidRPr="0041313F">
        <w:rPr>
          <w:rStyle w:val="Enfasigrassetto"/>
          <w:rFonts w:ascii="Times New Roman" w:hAnsi="Times New Roman" w:cs="Times New Roman"/>
          <w:b w:val="0"/>
        </w:rPr>
        <w:t>Cass</w:t>
      </w:r>
      <w:proofErr w:type="spellEnd"/>
      <w:r w:rsidRPr="0041313F">
        <w:rPr>
          <w:rStyle w:val="Enfasigrassetto"/>
          <w:rFonts w:ascii="Times New Roman" w:hAnsi="Times New Roman" w:cs="Times New Roman"/>
          <w:b w:val="0"/>
        </w:rPr>
        <w:t>. civ., Sez. I,</w:t>
      </w:r>
      <w:r w:rsidR="00DF4F69">
        <w:rPr>
          <w:rStyle w:val="Enfasigrassetto"/>
          <w:rFonts w:ascii="Times New Roman" w:hAnsi="Times New Roman" w:cs="Times New Roman"/>
          <w:b w:val="0"/>
        </w:rPr>
        <w:t xml:space="preserve"> </w:t>
      </w:r>
      <w:r w:rsidR="00893779" w:rsidRPr="0041313F">
        <w:rPr>
          <w:rStyle w:val="Enfasigrassetto"/>
          <w:rFonts w:ascii="Times New Roman" w:hAnsi="Times New Roman" w:cs="Times New Roman"/>
          <w:b w:val="0"/>
        </w:rPr>
        <w:t xml:space="preserve">28.6.2005, n. 8841). </w:t>
      </w:r>
      <w:r w:rsidRPr="0041313F">
        <w:rPr>
          <w:rStyle w:val="Enfasigrassetto"/>
          <w:rFonts w:ascii="Times New Roman" w:hAnsi="Times New Roman" w:cs="Times New Roman"/>
          <w:b w:val="0"/>
        </w:rPr>
        <w:t>Di diverso avvi</w:t>
      </w:r>
      <w:r w:rsidR="00343ED2">
        <w:rPr>
          <w:rStyle w:val="Enfasigrassetto"/>
          <w:rFonts w:ascii="Times New Roman" w:hAnsi="Times New Roman" w:cs="Times New Roman"/>
          <w:b w:val="0"/>
        </w:rPr>
        <w:t>so l’orientamento maggioritario,</w:t>
      </w:r>
      <w:r w:rsidRPr="0041313F">
        <w:rPr>
          <w:rStyle w:val="Enfasigrassetto"/>
          <w:rFonts w:ascii="Times New Roman" w:hAnsi="Times New Roman" w:cs="Times New Roman"/>
          <w:b w:val="0"/>
        </w:rPr>
        <w:t xml:space="preserve"> secondo il quale, al fine di beneficiare del</w:t>
      </w:r>
      <w:r w:rsidR="00752A74" w:rsidRPr="0041313F">
        <w:rPr>
          <w:rStyle w:val="Enfasigrassetto"/>
          <w:rFonts w:ascii="Times New Roman" w:hAnsi="Times New Roman" w:cs="Times New Roman"/>
          <w:b w:val="0"/>
        </w:rPr>
        <w:t xml:space="preserve"> dimezzamento della cauzione, sarebbe</w:t>
      </w:r>
      <w:r w:rsidRPr="0041313F">
        <w:rPr>
          <w:rStyle w:val="Enfasigrassetto"/>
          <w:rFonts w:ascii="Times New Roman" w:hAnsi="Times New Roman" w:cs="Times New Roman"/>
          <w:b w:val="0"/>
        </w:rPr>
        <w:t xml:space="preserve"> sufficiente allegare la certifica</w:t>
      </w:r>
      <w:r w:rsidR="00893779" w:rsidRPr="0041313F">
        <w:rPr>
          <w:rStyle w:val="Enfasigrassetto"/>
          <w:rFonts w:ascii="Times New Roman" w:hAnsi="Times New Roman" w:cs="Times New Roman"/>
          <w:b w:val="0"/>
        </w:rPr>
        <w:t xml:space="preserve">zione di qualità in originale o </w:t>
      </w:r>
      <w:r w:rsidRPr="0041313F">
        <w:rPr>
          <w:rStyle w:val="Enfasigrassetto"/>
          <w:rFonts w:ascii="Times New Roman" w:hAnsi="Times New Roman" w:cs="Times New Roman"/>
          <w:b w:val="0"/>
        </w:rPr>
        <w:t>copia autentica, poiché la dichiarazione di vole</w:t>
      </w:r>
      <w:r w:rsidR="007A36DC">
        <w:rPr>
          <w:rStyle w:val="Enfasigrassetto"/>
          <w:rFonts w:ascii="Times New Roman" w:hAnsi="Times New Roman" w:cs="Times New Roman"/>
          <w:b w:val="0"/>
        </w:rPr>
        <w:t>rsi avvalere di tale riduzione sarebbe</w:t>
      </w:r>
      <w:r w:rsidRPr="0041313F">
        <w:rPr>
          <w:rStyle w:val="Enfasigrassetto"/>
          <w:rFonts w:ascii="Times New Roman" w:hAnsi="Times New Roman" w:cs="Times New Roman"/>
          <w:b w:val="0"/>
        </w:rPr>
        <w:t xml:space="preserve"> implicita con la</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produzione della certificazione stessa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Stato, sez. V, 14.10.2003 n. 6280; T.A.R. Sicilia,</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Catania, sez. IV, 14.2.2008, n. 280; T.A.R. Sicilia, Palermo, sez. III, 27.2.2007, n. 614; Autorità</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Vigilanza, Deliberazione n. 102 del 5.11.2009; Autorità Vigilanza, Parere di Precontenzioso n.</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164 del 20.12.2007).</w:t>
      </w:r>
      <w:r w:rsidR="007A36DC">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In effetti sarebbe illogico ed irragionevole ritenere che un soggetto</w:t>
      </w:r>
      <w:r w:rsidR="00343ED2">
        <w:rPr>
          <w:rStyle w:val="Enfasigrassetto"/>
          <w:rFonts w:ascii="Times New Roman" w:hAnsi="Times New Roman" w:cs="Times New Roman"/>
          <w:b w:val="0"/>
        </w:rPr>
        <w:t xml:space="preserve"> che presenti</w:t>
      </w:r>
      <w:r w:rsidR="00893779" w:rsidRPr="0041313F">
        <w:rPr>
          <w:rStyle w:val="Enfasigrassetto"/>
          <w:rFonts w:ascii="Times New Roman" w:hAnsi="Times New Roman" w:cs="Times New Roman"/>
          <w:b w:val="0"/>
        </w:rPr>
        <w:t xml:space="preserve"> la certificazione </w:t>
      </w:r>
      <w:r w:rsidRPr="0041313F">
        <w:rPr>
          <w:rStyle w:val="Enfasigrassetto"/>
          <w:rFonts w:ascii="Times New Roman" w:hAnsi="Times New Roman" w:cs="Times New Roman"/>
          <w:b w:val="0"/>
        </w:rPr>
        <w:t>d</w:t>
      </w:r>
      <w:r w:rsidR="00343ED2">
        <w:rPr>
          <w:rStyle w:val="Enfasigrassetto"/>
          <w:rFonts w:ascii="Times New Roman" w:hAnsi="Times New Roman" w:cs="Times New Roman"/>
          <w:b w:val="0"/>
        </w:rPr>
        <w:t>el sistema di qualità, richiesta</w:t>
      </w:r>
      <w:r w:rsidRPr="0041313F">
        <w:rPr>
          <w:rStyle w:val="Enfasigrassetto"/>
          <w:rFonts w:ascii="Times New Roman" w:hAnsi="Times New Roman" w:cs="Times New Roman"/>
          <w:b w:val="0"/>
        </w:rPr>
        <w:t>, tra l’altro, dal bando di gara al fine di ottenere il dimezzamento</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della cauzione, non abbia poi l’intenzione e la volo</w:t>
      </w:r>
      <w:r w:rsidR="00D22ED8">
        <w:rPr>
          <w:rStyle w:val="Enfasigrassetto"/>
          <w:rFonts w:ascii="Times New Roman" w:hAnsi="Times New Roman" w:cs="Times New Roman"/>
          <w:b w:val="0"/>
        </w:rPr>
        <w:t>ntà di utilizzarla in tal senso; s</w:t>
      </w:r>
      <w:r w:rsidRPr="0041313F">
        <w:rPr>
          <w:rStyle w:val="Enfasigrassetto"/>
          <w:rFonts w:ascii="Times New Roman" w:hAnsi="Times New Roman" w:cs="Times New Roman"/>
          <w:b w:val="0"/>
        </w:rPr>
        <w:t>i aggiunga, ancora, che la manifestazione di volontà dell’imp</w:t>
      </w:r>
      <w:r w:rsidR="00D22ED8">
        <w:rPr>
          <w:rStyle w:val="Enfasigrassetto"/>
          <w:rFonts w:ascii="Times New Roman" w:hAnsi="Times New Roman" w:cs="Times New Roman"/>
          <w:b w:val="0"/>
        </w:rPr>
        <w:t>resa</w:t>
      </w:r>
      <w:r w:rsidR="00893779" w:rsidRPr="0041313F">
        <w:rPr>
          <w:rStyle w:val="Enfasigrassetto"/>
          <w:rFonts w:ascii="Times New Roman" w:hAnsi="Times New Roman" w:cs="Times New Roman"/>
          <w:b w:val="0"/>
        </w:rPr>
        <w:t xml:space="preserve"> citata dalla giurispruden</w:t>
      </w:r>
      <w:r w:rsidRPr="0041313F">
        <w:rPr>
          <w:rStyle w:val="Enfasigrassetto"/>
          <w:rFonts w:ascii="Times New Roman" w:hAnsi="Times New Roman" w:cs="Times New Roman"/>
          <w:b w:val="0"/>
        </w:rPr>
        <w:t>za campana, non viene richiesta neanche dall’art. 75</w:t>
      </w:r>
      <w:r w:rsidR="00D22ED8">
        <w:rPr>
          <w:rStyle w:val="Enfasigrassetto"/>
          <w:rFonts w:ascii="Times New Roman" w:hAnsi="Times New Roman" w:cs="Times New Roman"/>
          <w:b w:val="0"/>
        </w:rPr>
        <w:t xml:space="preserve"> </w:t>
      </w:r>
      <w:r w:rsidR="00343ED2">
        <w:rPr>
          <w:rStyle w:val="Enfasigrassetto"/>
          <w:rFonts w:ascii="Times New Roman" w:hAnsi="Times New Roman" w:cs="Times New Roman"/>
          <w:b w:val="0"/>
        </w:rPr>
        <w:t>comma 7 del Codice</w:t>
      </w:r>
      <w:r w:rsidRPr="0041313F">
        <w:rPr>
          <w:rStyle w:val="Enfasigrassetto"/>
          <w:rFonts w:ascii="Times New Roman" w:hAnsi="Times New Roman" w:cs="Times New Roman"/>
          <w:b w:val="0"/>
        </w:rPr>
        <w:t>, il quale prevede che</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il partecipante debba solo “segnalare” il possesso del</w:t>
      </w:r>
      <w:r w:rsidR="00D22ED8">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requisito e non dichiarare espressamente di volersi avvalere</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della riduzi</w:t>
      </w:r>
      <w:r w:rsidR="00752A74" w:rsidRPr="0041313F">
        <w:rPr>
          <w:rStyle w:val="Enfasigrassetto"/>
          <w:rFonts w:ascii="Times New Roman" w:hAnsi="Times New Roman" w:cs="Times New Roman"/>
          <w:b w:val="0"/>
        </w:rPr>
        <w:t>one dell’importo della cauzione.</w:t>
      </w:r>
    </w:p>
    <w:p w:rsidR="00010D2F" w:rsidRPr="0041313F" w:rsidRDefault="00010D2F"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lastRenderedPageBreak/>
        <w:t>Sempre con riferimento alla certificazione del sistema</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di qualità</w:t>
      </w:r>
      <w:r w:rsidR="00D22ED8">
        <w:rPr>
          <w:rStyle w:val="Enfasigrassetto"/>
          <w:rFonts w:ascii="Times New Roman" w:hAnsi="Times New Roman" w:cs="Times New Roman"/>
          <w:b w:val="0"/>
        </w:rPr>
        <w:t>, si richiama un apprezzabile</w:t>
      </w:r>
      <w:r w:rsidR="00752A74" w:rsidRPr="0041313F">
        <w:rPr>
          <w:rStyle w:val="Enfasigrassetto"/>
          <w:rFonts w:ascii="Times New Roman" w:hAnsi="Times New Roman" w:cs="Times New Roman"/>
          <w:b w:val="0"/>
        </w:rPr>
        <w:t xml:space="preserve"> indirizzo </w:t>
      </w:r>
      <w:r w:rsidRPr="0041313F">
        <w:rPr>
          <w:rStyle w:val="Enfasigrassetto"/>
          <w:rFonts w:ascii="Times New Roman" w:hAnsi="Times New Roman" w:cs="Times New Roman"/>
          <w:b w:val="0"/>
        </w:rPr>
        <w:t>giurisprudenziale</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che, contrariamente a</w:t>
      </w:r>
      <w:r w:rsidR="00893779" w:rsidRPr="0041313F">
        <w:rPr>
          <w:rStyle w:val="Enfasigrassetto"/>
          <w:rFonts w:ascii="Times New Roman" w:hAnsi="Times New Roman" w:cs="Times New Roman"/>
          <w:b w:val="0"/>
        </w:rPr>
        <w:t xml:space="preserve"> quanto sostenuto in precedenza </w:t>
      </w:r>
      <w:r w:rsidRPr="0041313F">
        <w:rPr>
          <w:rStyle w:val="Enfasigrassetto"/>
          <w:rFonts w:ascii="Times New Roman" w:hAnsi="Times New Roman" w:cs="Times New Roman"/>
          <w:b w:val="0"/>
        </w:rPr>
        <w:t>(vedi T.A.R. Veneto, sez. I, 14.1.2005, n. 67), consente</w:t>
      </w:r>
      <w:r w:rsidR="00893779"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ai concorrenti di c</w:t>
      </w:r>
      <w:r w:rsidR="00893779" w:rsidRPr="0041313F">
        <w:rPr>
          <w:rStyle w:val="Enfasigrassetto"/>
          <w:rFonts w:ascii="Times New Roman" w:hAnsi="Times New Roman" w:cs="Times New Roman"/>
          <w:b w:val="0"/>
        </w:rPr>
        <w:t xml:space="preserve">omprovarne il possesso mediante </w:t>
      </w:r>
      <w:r w:rsidRPr="0041313F">
        <w:rPr>
          <w:rStyle w:val="Enfasigrassetto"/>
          <w:rFonts w:ascii="Times New Roman" w:hAnsi="Times New Roman" w:cs="Times New Roman"/>
          <w:b w:val="0"/>
        </w:rPr>
        <w:t>dichiarazio</w:t>
      </w:r>
      <w:r w:rsidR="00752A74" w:rsidRPr="0041313F">
        <w:rPr>
          <w:rStyle w:val="Enfasigrassetto"/>
          <w:rFonts w:ascii="Times New Roman" w:hAnsi="Times New Roman" w:cs="Times New Roman"/>
          <w:b w:val="0"/>
        </w:rPr>
        <w:t xml:space="preserve">ne sostitutiva: </w:t>
      </w:r>
      <w:r w:rsidRPr="0041313F">
        <w:rPr>
          <w:rStyle w:val="Enfasigrassetto"/>
          <w:rFonts w:ascii="Times New Roman" w:hAnsi="Times New Roman" w:cs="Times New Roman"/>
          <w:b w:val="0"/>
        </w:rPr>
        <w:t>«</w:t>
      </w:r>
      <w:r w:rsidRPr="00D22ED8">
        <w:rPr>
          <w:rStyle w:val="Enfasigrassetto"/>
          <w:rFonts w:ascii="Times New Roman" w:hAnsi="Times New Roman" w:cs="Times New Roman"/>
          <w:b w:val="0"/>
          <w:i/>
        </w:rPr>
        <w:t>Il possesso della certificazione di qualità può</w:t>
      </w:r>
      <w:r w:rsidR="00752A74" w:rsidRPr="00D22ED8">
        <w:rPr>
          <w:rStyle w:val="Enfasigrassetto"/>
          <w:rFonts w:ascii="Times New Roman" w:hAnsi="Times New Roman" w:cs="Times New Roman"/>
          <w:b w:val="0"/>
          <w:i/>
        </w:rPr>
        <w:t xml:space="preserve"> </w:t>
      </w:r>
      <w:r w:rsidRPr="00D22ED8">
        <w:rPr>
          <w:rStyle w:val="Enfasigrassetto"/>
          <w:rFonts w:ascii="Times New Roman" w:hAnsi="Times New Roman" w:cs="Times New Roman"/>
          <w:b w:val="0"/>
          <w:i/>
        </w:rPr>
        <w:t>documentarsi mediante dichiarazione sostitutiva di</w:t>
      </w:r>
      <w:r w:rsidR="00893779" w:rsidRPr="00D22ED8">
        <w:rPr>
          <w:rStyle w:val="Enfasigrassetto"/>
          <w:rFonts w:ascii="Times New Roman" w:hAnsi="Times New Roman" w:cs="Times New Roman"/>
          <w:b w:val="0"/>
          <w:i/>
        </w:rPr>
        <w:t xml:space="preserve"> </w:t>
      </w:r>
      <w:r w:rsidRPr="00D22ED8">
        <w:rPr>
          <w:rStyle w:val="Enfasigrassetto"/>
          <w:rFonts w:ascii="Times New Roman" w:hAnsi="Times New Roman" w:cs="Times New Roman"/>
          <w:b w:val="0"/>
          <w:i/>
        </w:rPr>
        <w:t>certificazione, resa ai sensi dell’art. 46 del DPR 445/2000 ovvero con una dichiarazione sostitutiva</w:t>
      </w:r>
      <w:r w:rsidR="00893779" w:rsidRPr="00D22ED8">
        <w:rPr>
          <w:rStyle w:val="Enfasigrassetto"/>
          <w:rFonts w:ascii="Times New Roman" w:hAnsi="Times New Roman" w:cs="Times New Roman"/>
          <w:b w:val="0"/>
          <w:i/>
        </w:rPr>
        <w:t xml:space="preserve"> </w:t>
      </w:r>
      <w:r w:rsidRPr="00D22ED8">
        <w:rPr>
          <w:rStyle w:val="Enfasigrassetto"/>
          <w:rFonts w:ascii="Times New Roman" w:hAnsi="Times New Roman" w:cs="Times New Roman"/>
          <w:b w:val="0"/>
          <w:i/>
        </w:rPr>
        <w:t>di atto di notorietà da rendersi ai sensi del combinato disposto degli artt. 47 co. 1 e</w:t>
      </w:r>
      <w:r w:rsidR="00893779" w:rsidRPr="00D22ED8">
        <w:rPr>
          <w:rStyle w:val="Enfasigrassetto"/>
          <w:rFonts w:ascii="Times New Roman" w:hAnsi="Times New Roman" w:cs="Times New Roman"/>
          <w:b w:val="0"/>
          <w:i/>
        </w:rPr>
        <w:t xml:space="preserve"> </w:t>
      </w:r>
      <w:r w:rsidRPr="00D22ED8">
        <w:rPr>
          <w:rStyle w:val="Enfasigrassetto"/>
          <w:rFonts w:ascii="Times New Roman" w:hAnsi="Times New Roman" w:cs="Times New Roman"/>
          <w:b w:val="0"/>
          <w:i/>
        </w:rPr>
        <w:t>38 co. 3 del D.P.R. 445/2000. È dunque consentito, salva ogni successiva verifica, dichiarare</w:t>
      </w:r>
      <w:r w:rsidR="00893779" w:rsidRPr="00D22ED8">
        <w:rPr>
          <w:rStyle w:val="Enfasigrassetto"/>
          <w:rFonts w:ascii="Times New Roman" w:hAnsi="Times New Roman" w:cs="Times New Roman"/>
          <w:b w:val="0"/>
          <w:i/>
        </w:rPr>
        <w:t xml:space="preserve"> </w:t>
      </w:r>
      <w:r w:rsidRPr="00D22ED8">
        <w:rPr>
          <w:rStyle w:val="Enfasigrassetto"/>
          <w:rFonts w:ascii="Times New Roman" w:hAnsi="Times New Roman" w:cs="Times New Roman"/>
          <w:b w:val="0"/>
          <w:i/>
        </w:rPr>
        <w:t>il possesso della certificazione di qualità senza dover produrre anche la copia della relativa</w:t>
      </w:r>
      <w:r w:rsidR="00893779" w:rsidRPr="00D22ED8">
        <w:rPr>
          <w:rStyle w:val="Enfasigrassetto"/>
          <w:rFonts w:ascii="Times New Roman" w:hAnsi="Times New Roman" w:cs="Times New Roman"/>
          <w:b w:val="0"/>
          <w:i/>
        </w:rPr>
        <w:t xml:space="preserve"> </w:t>
      </w:r>
      <w:r w:rsidRPr="00D22ED8">
        <w:rPr>
          <w:rStyle w:val="Enfasigrassetto"/>
          <w:rFonts w:ascii="Times New Roman" w:hAnsi="Times New Roman" w:cs="Times New Roman"/>
          <w:b w:val="0"/>
          <w:i/>
        </w:rPr>
        <w:t>certificazione» (</w:t>
      </w:r>
      <w:r w:rsidRPr="0041313F">
        <w:rPr>
          <w:rStyle w:val="Enfasigrassetto"/>
          <w:rFonts w:ascii="Times New Roman" w:hAnsi="Times New Roman" w:cs="Times New Roman"/>
          <w:b w:val="0"/>
        </w:rPr>
        <w:t xml:space="preserve">AVCP, Parere di Precontenzioso n. 193 del 3.11.2010;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Stato, Sez.</w:t>
      </w:r>
      <w:r w:rsidR="00752A74"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V, 19.4.2007, n. 1790;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Stato, Sez. VI, 19.1.2007, n. 121; TAR Lazio, sez. III-quater,</w:t>
      </w:r>
      <w:r w:rsidR="00752A74"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1.2.2008, n. 899).</w:t>
      </w:r>
    </w:p>
    <w:p w:rsidR="00821A7B" w:rsidRPr="0041313F" w:rsidRDefault="00821A7B"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Un altro importante profilo riguarda la sanz</w:t>
      </w:r>
      <w:r w:rsidR="00D22ED8">
        <w:rPr>
          <w:rStyle w:val="Enfasigrassetto"/>
          <w:rFonts w:ascii="Times New Roman" w:hAnsi="Times New Roman" w:cs="Times New Roman"/>
          <w:b w:val="0"/>
        </w:rPr>
        <w:t>ione da comminare all’operatore economico</w:t>
      </w:r>
      <w:r w:rsidRPr="0041313F">
        <w:rPr>
          <w:rStyle w:val="Enfasigrassetto"/>
          <w:rFonts w:ascii="Times New Roman" w:hAnsi="Times New Roman" w:cs="Times New Roman"/>
          <w:b w:val="0"/>
        </w:rPr>
        <w:t xml:space="preserve"> </w:t>
      </w:r>
      <w:r w:rsidR="00D22ED8">
        <w:rPr>
          <w:rStyle w:val="Enfasigrassetto"/>
          <w:rFonts w:ascii="Times New Roman" w:hAnsi="Times New Roman" w:cs="Times New Roman"/>
          <w:b w:val="0"/>
        </w:rPr>
        <w:t>qualora</w:t>
      </w:r>
      <w:r w:rsidRPr="0041313F">
        <w:rPr>
          <w:rStyle w:val="Enfasigrassetto"/>
          <w:rFonts w:ascii="Times New Roman" w:hAnsi="Times New Roman" w:cs="Times New Roman"/>
          <w:b w:val="0"/>
        </w:rPr>
        <w:t xml:space="preserve"> dovesse presentare una cauzione dimidiata senza però dimostrare il possesso della certificazione di qualità. Secondo l’orientamento del Supremo Consesso </w:t>
      </w:r>
      <w:r w:rsidR="00D22ED8">
        <w:rPr>
          <w:rStyle w:val="Enfasigrassetto"/>
          <w:rFonts w:ascii="Times New Roman" w:hAnsi="Times New Roman" w:cs="Times New Roman"/>
          <w:b w:val="0"/>
        </w:rPr>
        <w:t xml:space="preserve">amministrativo </w:t>
      </w:r>
      <w:r w:rsidRPr="0041313F">
        <w:rPr>
          <w:rStyle w:val="Enfasigrassetto"/>
          <w:rFonts w:ascii="Times New Roman" w:hAnsi="Times New Roman" w:cs="Times New Roman"/>
          <w:b w:val="0"/>
        </w:rPr>
        <w:t xml:space="preserve">la stazione appaltante dovrebbe comunque ammettere il partecipante per due ordini di motivi: da un lato, poiché nessun obbligo in tal senso sarebbe desumibile dall’art. 43 del Codice dei contratti; dall’altro perché l’art. 75, comma 1, non prescrivendo l’esclusione dalla gara in tali circostanze, </w:t>
      </w:r>
      <w:r w:rsidR="00D22ED8">
        <w:rPr>
          <w:rStyle w:val="Enfasigrassetto"/>
          <w:rFonts w:ascii="Times New Roman" w:hAnsi="Times New Roman" w:cs="Times New Roman"/>
          <w:b w:val="0"/>
        </w:rPr>
        <w:t>consentirebbe</w:t>
      </w:r>
      <w:r w:rsidRPr="0041313F">
        <w:rPr>
          <w:rStyle w:val="Enfasigrassetto"/>
          <w:rFonts w:ascii="Times New Roman" w:hAnsi="Times New Roman" w:cs="Times New Roman"/>
          <w:b w:val="0"/>
        </w:rPr>
        <w:t xml:space="preserve"> implicitamente la regolarizzazione della cauzione medesima ai sensi dell’art. 46 comma 1bis del Codice dei contratti  (</w:t>
      </w:r>
      <w:r w:rsidR="00D22ED8">
        <w:rPr>
          <w:rStyle w:val="Enfasigrassetto"/>
          <w:rFonts w:ascii="Times New Roman" w:hAnsi="Times New Roman" w:cs="Times New Roman"/>
          <w:b w:val="0"/>
        </w:rPr>
        <w:t>Consiglio di S</w:t>
      </w:r>
      <w:r w:rsidR="00D22ED8" w:rsidRPr="0041313F">
        <w:rPr>
          <w:rStyle w:val="Enfasigrassetto"/>
          <w:rFonts w:ascii="Times New Roman" w:hAnsi="Times New Roman" w:cs="Times New Roman"/>
          <w:b w:val="0"/>
        </w:rPr>
        <w:t xml:space="preserve">tato - sezione </w:t>
      </w:r>
      <w:r w:rsidRPr="0041313F">
        <w:rPr>
          <w:rStyle w:val="Enfasigrassetto"/>
          <w:rFonts w:ascii="Times New Roman" w:hAnsi="Times New Roman" w:cs="Times New Roman"/>
          <w:b w:val="0"/>
        </w:rPr>
        <w:t>III - Sentenza n. 5203 del 4 ottobre 2012 n. 5203).</w:t>
      </w:r>
      <w:r w:rsidR="00D22ED8">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Anche secondo l’Autorità per la Vigilanza sui contratti pubblici di lavori, servizi e forniture, in tali ipotesi, il concorrente non </w:t>
      </w:r>
      <w:r w:rsidR="00D22ED8">
        <w:rPr>
          <w:rStyle w:val="Enfasigrassetto"/>
          <w:rFonts w:ascii="Times New Roman" w:hAnsi="Times New Roman" w:cs="Times New Roman"/>
          <w:b w:val="0"/>
        </w:rPr>
        <w:t xml:space="preserve">dovrebbe essere escluso, ma a patto </w:t>
      </w:r>
      <w:r w:rsidRPr="0041313F">
        <w:rPr>
          <w:rStyle w:val="Enfasigrassetto"/>
          <w:rFonts w:ascii="Times New Roman" w:hAnsi="Times New Roman" w:cs="Times New Roman"/>
          <w:b w:val="0"/>
        </w:rPr>
        <w:t>che abbia segnalato di essere in possesso della certificazione</w:t>
      </w:r>
      <w:r w:rsidR="00D22ED8">
        <w:rPr>
          <w:rStyle w:val="Enfasigrassetto"/>
          <w:rFonts w:ascii="Times New Roman" w:hAnsi="Times New Roman" w:cs="Times New Roman"/>
          <w:b w:val="0"/>
        </w:rPr>
        <w:t xml:space="preserve"> di qualità: s</w:t>
      </w:r>
      <w:r w:rsidRPr="0041313F">
        <w:rPr>
          <w:rStyle w:val="Enfasigrassetto"/>
          <w:rFonts w:ascii="Times New Roman" w:hAnsi="Times New Roman" w:cs="Times New Roman"/>
          <w:b w:val="0"/>
        </w:rPr>
        <w:t>econdo l’organo di vigilanza, differentemente da quanto affermato dal Consiglio di Stato, la regolarizzazione avrebbe ad oggetto la documentazione comprovante il possesso della certificazione di qualità e non l’integrazione della cauzione provvisoria (AVCP Determinazione n. 4 del 10.10.2012).</w:t>
      </w:r>
    </w:p>
    <w:p w:rsidR="00DF4F69" w:rsidRDefault="00010D2F"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Non è chiaro se la riduzione del 50% della cauzione provvisoria possa esser</w:t>
      </w:r>
      <w:r w:rsidR="008576A4" w:rsidRPr="0041313F">
        <w:rPr>
          <w:rStyle w:val="Enfasigrassetto"/>
          <w:rFonts w:ascii="Times New Roman" w:hAnsi="Times New Roman" w:cs="Times New Roman"/>
          <w:b w:val="0"/>
        </w:rPr>
        <w:t xml:space="preserve">e applicata anche </w:t>
      </w:r>
      <w:r w:rsidRPr="0041313F">
        <w:rPr>
          <w:rStyle w:val="Enfasigrassetto"/>
          <w:rFonts w:ascii="Times New Roman" w:hAnsi="Times New Roman" w:cs="Times New Roman"/>
          <w:b w:val="0"/>
        </w:rPr>
        <w:t>nell’ipotesi in cui ciò non sia previsto espressamente nel bando di gara. Dall’interpretazione</w:t>
      </w:r>
      <w:r w:rsidR="008576A4"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letterale dell’art. 75</w:t>
      </w:r>
      <w:r w:rsidR="00343ED2">
        <w:rPr>
          <w:rStyle w:val="Enfasigrassetto"/>
          <w:rFonts w:ascii="Times New Roman" w:hAnsi="Times New Roman" w:cs="Times New Roman"/>
          <w:b w:val="0"/>
        </w:rPr>
        <w:t xml:space="preserve"> del </w:t>
      </w:r>
      <w:proofErr w:type="spellStart"/>
      <w:r w:rsidR="00343ED2">
        <w:rPr>
          <w:rStyle w:val="Enfasigrassetto"/>
          <w:rFonts w:ascii="Times New Roman" w:hAnsi="Times New Roman" w:cs="Times New Roman"/>
          <w:b w:val="0"/>
        </w:rPr>
        <w:t>D.Lgs.</w:t>
      </w:r>
      <w:proofErr w:type="spellEnd"/>
      <w:r w:rsidR="00343ED2">
        <w:rPr>
          <w:rStyle w:val="Enfasigrassetto"/>
          <w:rFonts w:ascii="Times New Roman" w:hAnsi="Times New Roman" w:cs="Times New Roman"/>
          <w:b w:val="0"/>
        </w:rPr>
        <w:t xml:space="preserve"> 1632006</w:t>
      </w:r>
      <w:r w:rsidRPr="0041313F">
        <w:rPr>
          <w:rStyle w:val="Enfasigrassetto"/>
          <w:rFonts w:ascii="Times New Roman" w:hAnsi="Times New Roman" w:cs="Times New Roman"/>
          <w:b w:val="0"/>
        </w:rPr>
        <w:t xml:space="preserve"> sembrerebbe che la norma sia automaticamente applicabile, nel senso che</w:t>
      </w:r>
      <w:r w:rsidR="008576A4"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il beneficio della riduzione della cauzione debba ritenersi operante indipendentemente da un’espressa</w:t>
      </w:r>
      <w:r w:rsidR="008576A4"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previsione da parte della </w:t>
      </w:r>
      <w:proofErr w:type="spellStart"/>
      <w:r w:rsidRPr="0041313F">
        <w:rPr>
          <w:rStyle w:val="Enfasigrassetto"/>
          <w:rFonts w:ascii="Times New Roman" w:hAnsi="Times New Roman" w:cs="Times New Roman"/>
          <w:b w:val="0"/>
        </w:rPr>
        <w:t>lex</w:t>
      </w:r>
      <w:proofErr w:type="spellEnd"/>
      <w:r w:rsidRPr="0041313F">
        <w:rPr>
          <w:rStyle w:val="Enfasigrassetto"/>
          <w:rFonts w:ascii="Times New Roman" w:hAnsi="Times New Roman" w:cs="Times New Roman"/>
          <w:b w:val="0"/>
        </w:rPr>
        <w:t xml:space="preserve"> </w:t>
      </w:r>
      <w:proofErr w:type="spellStart"/>
      <w:r w:rsidRPr="0041313F">
        <w:rPr>
          <w:rStyle w:val="Enfasigrassetto"/>
          <w:rFonts w:ascii="Times New Roman" w:hAnsi="Times New Roman" w:cs="Times New Roman"/>
          <w:b w:val="0"/>
        </w:rPr>
        <w:t>specialis</w:t>
      </w:r>
      <w:proofErr w:type="spellEnd"/>
      <w:r w:rsidRPr="0041313F">
        <w:rPr>
          <w:rStyle w:val="Enfasigrassetto"/>
          <w:rFonts w:ascii="Times New Roman" w:hAnsi="Times New Roman" w:cs="Times New Roman"/>
          <w:b w:val="0"/>
        </w:rPr>
        <w:t xml:space="preserve"> di gara, che non </w:t>
      </w:r>
      <w:r w:rsidR="00893779" w:rsidRPr="0041313F">
        <w:rPr>
          <w:rStyle w:val="Enfasigrassetto"/>
          <w:rFonts w:ascii="Times New Roman" w:hAnsi="Times New Roman" w:cs="Times New Roman"/>
          <w:b w:val="0"/>
        </w:rPr>
        <w:t xml:space="preserve">potrebbe nemmeno legittimamente </w:t>
      </w:r>
      <w:r w:rsidRPr="0041313F">
        <w:rPr>
          <w:rStyle w:val="Enfasigrassetto"/>
          <w:rFonts w:ascii="Times New Roman" w:hAnsi="Times New Roman" w:cs="Times New Roman"/>
          <w:b w:val="0"/>
        </w:rPr>
        <w:t>es</w:t>
      </w:r>
      <w:r w:rsidR="00DF4F69">
        <w:rPr>
          <w:rStyle w:val="Enfasigrassetto"/>
          <w:rFonts w:ascii="Times New Roman" w:hAnsi="Times New Roman" w:cs="Times New Roman"/>
          <w:b w:val="0"/>
        </w:rPr>
        <w:t>cluderne a priori l’operatività</w:t>
      </w:r>
      <w:r w:rsidR="00DF4F69">
        <w:rPr>
          <w:rStyle w:val="Rimandonotaapidipagina"/>
          <w:rFonts w:ascii="Times New Roman" w:hAnsi="Times New Roman" w:cs="Times New Roman"/>
          <w:bCs/>
        </w:rPr>
        <w:footnoteReference w:id="6"/>
      </w:r>
      <w:r w:rsidR="00343ED2">
        <w:rPr>
          <w:rStyle w:val="Enfasigrassetto"/>
          <w:rFonts w:ascii="Times New Roman" w:hAnsi="Times New Roman" w:cs="Times New Roman"/>
          <w:b w:val="0"/>
        </w:rPr>
        <w:t>.</w:t>
      </w:r>
    </w:p>
    <w:p w:rsidR="00D22ED8" w:rsidRDefault="0031006E"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L’ultimo comma dell’art. 75 disciplina lo svincolo della garanzia nei confronti dei non</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aggiudicatari.</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Diversamente dall’art. 30, legge n. 109/1994, la cauzione provvisoria viene attualmente restituita</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ai concorrenti non aggiudicatari all’atto della comunicazione dell’avvenuta aggiudicazione,</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tempestivamente o ent</w:t>
      </w:r>
      <w:r w:rsidR="00D22ED8">
        <w:rPr>
          <w:rStyle w:val="Enfasigrassetto"/>
          <w:rFonts w:ascii="Times New Roman" w:hAnsi="Times New Roman" w:cs="Times New Roman"/>
          <w:b w:val="0"/>
        </w:rPr>
        <w:t>ro un termine non superiore a trenta</w:t>
      </w:r>
      <w:r w:rsidRPr="0041313F">
        <w:rPr>
          <w:rStyle w:val="Enfasigrassetto"/>
          <w:rFonts w:ascii="Times New Roman" w:hAnsi="Times New Roman" w:cs="Times New Roman"/>
          <w:b w:val="0"/>
        </w:rPr>
        <w:t xml:space="preserve"> giorni dall’aggiudicazione.</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Al riguardo è stato osservato che la </w:t>
      </w:r>
      <w:r w:rsidRPr="0041313F">
        <w:rPr>
          <w:rStyle w:val="Enfasigrassetto"/>
          <w:rFonts w:ascii="Times New Roman" w:hAnsi="Times New Roman" w:cs="Times New Roman"/>
          <w:b w:val="0"/>
        </w:rPr>
        <w:lastRenderedPageBreak/>
        <w:t>cessazione della garanzia non si verificherebbe in modo</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automatico, in quanto la norma disporrebbe, a carico dell’amministrazione, l’obbligo di procedere</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allo svincolo della stessa entro trenta giorni dall’aggiudicazione. L’attribuzione alla</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stazione appaltante del potere di far cessare l’efficacia della garanzia troverebbe la sua ratio</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nel fatto che, a seguito della verifica dei requisiti in capo al primo ed al secondo in graduatoria,</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potrebbe accadere che gli stessi non ne abbiano il possesso, per cui si dovrà procedere</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alla determinazione della nuova soglia di anomalia dell’offerta ed alla conseguente eventuale</w:t>
      </w:r>
      <w:r w:rsidR="00DF4F69">
        <w:rPr>
          <w:rStyle w:val="Enfasigrassetto"/>
          <w:rFonts w:ascii="Times New Roman" w:hAnsi="Times New Roman" w:cs="Times New Roman"/>
          <w:b w:val="0"/>
        </w:rPr>
        <w:t xml:space="preserve"> </w:t>
      </w:r>
      <w:r w:rsidR="00D22ED8">
        <w:rPr>
          <w:rStyle w:val="Enfasigrassetto"/>
          <w:rFonts w:ascii="Times New Roman" w:hAnsi="Times New Roman" w:cs="Times New Roman"/>
          <w:b w:val="0"/>
        </w:rPr>
        <w:t>nuova aggiudicazione s</w:t>
      </w:r>
      <w:r w:rsidRPr="0041313F">
        <w:rPr>
          <w:rStyle w:val="Enfasigrassetto"/>
          <w:rFonts w:ascii="Times New Roman" w:hAnsi="Times New Roman" w:cs="Times New Roman"/>
          <w:b w:val="0"/>
        </w:rPr>
        <w:t>ussiste</w:t>
      </w:r>
      <w:r w:rsidR="00D22ED8">
        <w:rPr>
          <w:rStyle w:val="Enfasigrassetto"/>
          <w:rFonts w:ascii="Times New Roman" w:hAnsi="Times New Roman" w:cs="Times New Roman"/>
          <w:b w:val="0"/>
        </w:rPr>
        <w:t xml:space="preserve">ndo, </w:t>
      </w:r>
      <w:r w:rsidRPr="0041313F">
        <w:rPr>
          <w:rStyle w:val="Enfasigrassetto"/>
          <w:rFonts w:ascii="Times New Roman" w:hAnsi="Times New Roman" w:cs="Times New Roman"/>
          <w:b w:val="0"/>
        </w:rPr>
        <w:t>pertanto, la necessità di mantenere in vita le cauzioni</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provvisorie dei partecipanti </w:t>
      </w:r>
      <w:r w:rsidR="00DF4F69">
        <w:rPr>
          <w:rStyle w:val="Enfasigrassetto"/>
          <w:rFonts w:ascii="Times New Roman" w:hAnsi="Times New Roman" w:cs="Times New Roman"/>
          <w:b w:val="0"/>
        </w:rPr>
        <w:t>diversi dal primo e dal secondo</w:t>
      </w:r>
      <w:r w:rsidR="00FC7F6A">
        <w:rPr>
          <w:rFonts w:ascii="Times New Roman" w:hAnsi="Times New Roman" w:cs="Times New Roman"/>
          <w:bCs/>
        </w:rPr>
        <w:t>.</w:t>
      </w:r>
      <w:r w:rsidRPr="0041313F">
        <w:rPr>
          <w:rStyle w:val="Enfasigrassetto"/>
          <w:rFonts w:ascii="Times New Roman" w:hAnsi="Times New Roman" w:cs="Times New Roman"/>
          <w:b w:val="0"/>
        </w:rPr>
        <w:t xml:space="preserve"> </w:t>
      </w:r>
    </w:p>
    <w:p w:rsidR="0031006E" w:rsidRDefault="0031006E"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Pur essendo difficile giungere</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a tali conclusioni da una mera interpretazione letterale del dato normativo, pervenire ad una</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soluzione differente sarebbe contrario alle finalità perseguite dall’istituto della cauzione provvisoria.</w:t>
      </w:r>
      <w:r w:rsidR="00DF4F69">
        <w:rPr>
          <w:rStyle w:val="Enfasigrassetto"/>
          <w:rFonts w:ascii="Times New Roman" w:hAnsi="Times New Roman" w:cs="Times New Roman"/>
          <w:b w:val="0"/>
        </w:rPr>
        <w:t xml:space="preserve"> </w:t>
      </w:r>
      <w:r w:rsidR="00343ED2">
        <w:rPr>
          <w:rStyle w:val="Enfasigrassetto"/>
          <w:rFonts w:ascii="Times New Roman" w:hAnsi="Times New Roman" w:cs="Times New Roman"/>
          <w:b w:val="0"/>
        </w:rPr>
        <w:t>Si pensi al</w:t>
      </w:r>
      <w:r w:rsidRPr="0041313F">
        <w:rPr>
          <w:rStyle w:val="Enfasigrassetto"/>
          <w:rFonts w:ascii="Times New Roman" w:hAnsi="Times New Roman" w:cs="Times New Roman"/>
          <w:b w:val="0"/>
        </w:rPr>
        <w:t xml:space="preserve"> disposto di cui all’art. 113 comma 4 del </w:t>
      </w:r>
      <w:proofErr w:type="spellStart"/>
      <w:r w:rsidRPr="0041313F">
        <w:rPr>
          <w:rStyle w:val="Enfasigrassetto"/>
          <w:rFonts w:ascii="Times New Roman" w:hAnsi="Times New Roman" w:cs="Times New Roman"/>
          <w:b w:val="0"/>
        </w:rPr>
        <w:t>D.Lgs.</w:t>
      </w:r>
      <w:proofErr w:type="spellEnd"/>
      <w:r w:rsidRPr="0041313F">
        <w:rPr>
          <w:rStyle w:val="Enfasigrassetto"/>
          <w:rFonts w:ascii="Times New Roman" w:hAnsi="Times New Roman" w:cs="Times New Roman"/>
          <w:b w:val="0"/>
        </w:rPr>
        <w:t xml:space="preserve"> 163/2006, secondo il quale</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la mancata costituzione della garanzia definitiva determina l’incameramento della cauzione</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provvisoria dell’aggiudicatario, la decadenza dell’affidamento e l’aggiudicazione dell’appalto al</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secondo concorrente.</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Orbene, se l</w:t>
      </w:r>
      <w:r w:rsidR="00FC7F6A">
        <w:rPr>
          <w:rStyle w:val="Enfasigrassetto"/>
          <w:rFonts w:ascii="Times New Roman" w:hAnsi="Times New Roman" w:cs="Times New Roman"/>
          <w:b w:val="0"/>
        </w:rPr>
        <w:t>’affidatario, trascorsi i trenta</w:t>
      </w:r>
      <w:r w:rsidRPr="0041313F">
        <w:rPr>
          <w:rStyle w:val="Enfasigrassetto"/>
          <w:rFonts w:ascii="Times New Roman" w:hAnsi="Times New Roman" w:cs="Times New Roman"/>
          <w:b w:val="0"/>
        </w:rPr>
        <w:t xml:space="preserve"> giorni dall’aggiudicazione, rifiutasse di stipulare il contratto</w:t>
      </w:r>
      <w:r w:rsidR="00DF4F69">
        <w:rPr>
          <w:rStyle w:val="Enfasigrassetto"/>
          <w:rFonts w:ascii="Times New Roman" w:hAnsi="Times New Roman" w:cs="Times New Roman"/>
          <w:b w:val="0"/>
        </w:rPr>
        <w:t xml:space="preserve"> </w:t>
      </w:r>
      <w:r w:rsidR="00343ED2">
        <w:rPr>
          <w:rStyle w:val="Enfasigrassetto"/>
          <w:rFonts w:ascii="Times New Roman" w:hAnsi="Times New Roman" w:cs="Times New Roman"/>
          <w:b w:val="0"/>
        </w:rPr>
        <w:t>di appalto, l’a</w:t>
      </w:r>
      <w:r w:rsidRPr="0041313F">
        <w:rPr>
          <w:rStyle w:val="Enfasigrassetto"/>
          <w:rFonts w:ascii="Times New Roman" w:hAnsi="Times New Roman" w:cs="Times New Roman"/>
          <w:b w:val="0"/>
        </w:rPr>
        <w:t>mministrazione non avrebbe nessuna garanzia nei confronti del secondo classificato,</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poiché la cauzione g</w:t>
      </w:r>
      <w:r w:rsidR="00FC7F6A">
        <w:rPr>
          <w:rStyle w:val="Enfasigrassetto"/>
          <w:rFonts w:ascii="Times New Roman" w:hAnsi="Times New Roman" w:cs="Times New Roman"/>
          <w:b w:val="0"/>
        </w:rPr>
        <w:t>li sarebbe già stata restituita</w:t>
      </w:r>
      <w:r w:rsidR="00FC7F6A">
        <w:rPr>
          <w:rStyle w:val="Rimandonotaapidipagina"/>
          <w:rFonts w:ascii="Times New Roman" w:hAnsi="Times New Roman" w:cs="Times New Roman"/>
          <w:bCs/>
        </w:rPr>
        <w:footnoteReference w:id="7"/>
      </w:r>
      <w:r w:rsidR="00FC7F6A">
        <w:rPr>
          <w:rStyle w:val="Enfasigrassetto"/>
          <w:rFonts w:ascii="Times New Roman" w:hAnsi="Times New Roman" w:cs="Times New Roman"/>
          <w:b w:val="0"/>
        </w:rPr>
        <w:t>.</w:t>
      </w:r>
    </w:p>
    <w:p w:rsidR="00BA6EA1" w:rsidRDefault="00BA6EA1" w:rsidP="00BA6EA1">
      <w:pPr>
        <w:pStyle w:val="Nessunaspaziatura"/>
        <w:numPr>
          <w:ilvl w:val="0"/>
          <w:numId w:val="8"/>
        </w:numPr>
        <w:spacing w:line="360" w:lineRule="auto"/>
        <w:ind w:left="-284" w:hanging="142"/>
        <w:jc w:val="both"/>
        <w:rPr>
          <w:rStyle w:val="Enfasigrassetto"/>
          <w:rFonts w:ascii="Times New Roman" w:hAnsi="Times New Roman" w:cs="Times New Roman"/>
        </w:rPr>
      </w:pPr>
      <w:r>
        <w:rPr>
          <w:rStyle w:val="Enfasigrassetto"/>
          <w:rFonts w:ascii="Times New Roman" w:hAnsi="Times New Roman" w:cs="Times New Roman"/>
        </w:rPr>
        <w:t xml:space="preserve">Le questioni aperte </w:t>
      </w:r>
    </w:p>
    <w:p w:rsidR="00993649" w:rsidRPr="00DF4F69" w:rsidRDefault="00993649" w:rsidP="00537465">
      <w:pPr>
        <w:pStyle w:val="Nessunaspaziatura"/>
        <w:numPr>
          <w:ilvl w:val="0"/>
          <w:numId w:val="17"/>
        </w:numPr>
        <w:spacing w:line="360" w:lineRule="auto"/>
        <w:ind w:left="0" w:hanging="284"/>
        <w:jc w:val="both"/>
        <w:rPr>
          <w:rStyle w:val="Enfasigrassetto"/>
          <w:rFonts w:ascii="Times New Roman" w:hAnsi="Times New Roman" w:cs="Times New Roman"/>
        </w:rPr>
      </w:pPr>
      <w:r w:rsidRPr="00DF4F69">
        <w:rPr>
          <w:rStyle w:val="Enfasigrassetto"/>
          <w:rFonts w:ascii="Times New Roman" w:hAnsi="Times New Roman" w:cs="Times New Roman"/>
        </w:rPr>
        <w:t>L’esclusione dalla gara per assenza o incompletezza della garanzia provvisoria</w:t>
      </w:r>
    </w:p>
    <w:p w:rsidR="00343ED2" w:rsidRDefault="00304FD2"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Si è già detto che la garanzia in commento è</w:t>
      </w:r>
      <w:r w:rsidR="00F831F6" w:rsidRPr="0041313F">
        <w:rPr>
          <w:rStyle w:val="Enfasigrassetto"/>
          <w:rFonts w:ascii="Times New Roman" w:hAnsi="Times New Roman" w:cs="Times New Roman"/>
          <w:b w:val="0"/>
        </w:rPr>
        <w:t xml:space="preserve"> </w:t>
      </w:r>
      <w:r w:rsidR="00CC7CB9" w:rsidRPr="0041313F">
        <w:rPr>
          <w:rStyle w:val="Enfasigrassetto"/>
          <w:rFonts w:ascii="Times New Roman" w:hAnsi="Times New Roman" w:cs="Times New Roman"/>
          <w:b w:val="0"/>
        </w:rPr>
        <w:t>tesa</w:t>
      </w:r>
      <w:r w:rsidRPr="0041313F">
        <w:rPr>
          <w:rStyle w:val="Enfasigrassetto"/>
          <w:rFonts w:ascii="Times New Roman" w:hAnsi="Times New Roman" w:cs="Times New Roman"/>
          <w:b w:val="0"/>
        </w:rPr>
        <w:t xml:space="preserve"> </w:t>
      </w:r>
      <w:r w:rsidR="00CC7CB9" w:rsidRPr="0041313F">
        <w:rPr>
          <w:rStyle w:val="Enfasigrassetto"/>
          <w:rFonts w:ascii="Times New Roman" w:hAnsi="Times New Roman" w:cs="Times New Roman"/>
          <w:b w:val="0"/>
        </w:rPr>
        <w:t>a garantire l’Amm</w:t>
      </w:r>
      <w:r w:rsidR="00FC7F6A">
        <w:rPr>
          <w:rStyle w:val="Enfasigrassetto"/>
          <w:rFonts w:ascii="Times New Roman" w:hAnsi="Times New Roman" w:cs="Times New Roman"/>
          <w:b w:val="0"/>
        </w:rPr>
        <w:t>inistrazione aggiudicatrice in ordine all’</w:t>
      </w:r>
      <w:r w:rsidR="00CC7CB9" w:rsidRPr="0041313F">
        <w:rPr>
          <w:rStyle w:val="Enfasigrassetto"/>
          <w:rFonts w:ascii="Times New Roman" w:hAnsi="Times New Roman" w:cs="Times New Roman"/>
          <w:b w:val="0"/>
        </w:rPr>
        <w:t>affidabilità</w:t>
      </w:r>
      <w:r w:rsidR="00993649" w:rsidRPr="0041313F">
        <w:rPr>
          <w:rStyle w:val="Enfasigrassetto"/>
          <w:rFonts w:ascii="Times New Roman" w:hAnsi="Times New Roman" w:cs="Times New Roman"/>
          <w:b w:val="0"/>
        </w:rPr>
        <w:t xml:space="preserve"> </w:t>
      </w:r>
      <w:r w:rsidR="00FC7F6A">
        <w:rPr>
          <w:rStyle w:val="Enfasigrassetto"/>
          <w:rFonts w:ascii="Times New Roman" w:hAnsi="Times New Roman" w:cs="Times New Roman"/>
          <w:b w:val="0"/>
        </w:rPr>
        <w:t>dell’offerta, alla</w:t>
      </w:r>
      <w:r w:rsidR="00CC7CB9" w:rsidRPr="0041313F">
        <w:rPr>
          <w:rStyle w:val="Enfasigrassetto"/>
          <w:rFonts w:ascii="Times New Roman" w:hAnsi="Times New Roman" w:cs="Times New Roman"/>
          <w:b w:val="0"/>
        </w:rPr>
        <w:t xml:space="preserve"> serietà della partecipazione e</w:t>
      </w:r>
      <w:r w:rsidR="00FC7F6A">
        <w:rPr>
          <w:rStyle w:val="Enfasigrassetto"/>
          <w:rFonts w:ascii="Times New Roman" w:hAnsi="Times New Roman" w:cs="Times New Roman"/>
          <w:b w:val="0"/>
        </w:rPr>
        <w:t>d</w:t>
      </w:r>
      <w:r w:rsidR="00CC7CB9" w:rsidRPr="0041313F">
        <w:rPr>
          <w:rStyle w:val="Enfasigrassetto"/>
          <w:rFonts w:ascii="Times New Roman" w:hAnsi="Times New Roman" w:cs="Times New Roman"/>
          <w:b w:val="0"/>
        </w:rPr>
        <w:t xml:space="preserve"> </w:t>
      </w:r>
      <w:r w:rsidR="00FC7F6A">
        <w:rPr>
          <w:rStyle w:val="Enfasigrassetto"/>
          <w:rFonts w:ascii="Times New Roman" w:hAnsi="Times New Roman" w:cs="Times New Roman"/>
          <w:b w:val="0"/>
        </w:rPr>
        <w:t>al</w:t>
      </w:r>
      <w:r w:rsidR="00CC7CB9" w:rsidRPr="0041313F">
        <w:rPr>
          <w:rStyle w:val="Enfasigrassetto"/>
          <w:rFonts w:ascii="Times New Roman" w:hAnsi="Times New Roman" w:cs="Times New Roman"/>
          <w:b w:val="0"/>
        </w:rPr>
        <w:t>la correttezza del comportamento</w:t>
      </w:r>
      <w:r w:rsidR="00993649" w:rsidRPr="0041313F">
        <w:rPr>
          <w:rStyle w:val="Enfasigrassetto"/>
          <w:rFonts w:ascii="Times New Roman" w:hAnsi="Times New Roman" w:cs="Times New Roman"/>
          <w:b w:val="0"/>
        </w:rPr>
        <w:t xml:space="preserve"> </w:t>
      </w:r>
      <w:r w:rsidR="00CC7CB9" w:rsidRPr="0041313F">
        <w:rPr>
          <w:rStyle w:val="Enfasigrassetto"/>
          <w:rFonts w:ascii="Times New Roman" w:hAnsi="Times New Roman" w:cs="Times New Roman"/>
          <w:b w:val="0"/>
        </w:rPr>
        <w:t>del concorrente in relazione agli obblighi derivanti dalla disciplina della gara</w:t>
      </w:r>
      <w:r w:rsidRPr="0041313F">
        <w:rPr>
          <w:rStyle w:val="Enfasigrassetto"/>
          <w:rFonts w:ascii="Times New Roman" w:hAnsi="Times New Roman" w:cs="Times New Roman"/>
          <w:b w:val="0"/>
        </w:rPr>
        <w:t>.</w:t>
      </w:r>
      <w:r w:rsidR="00993649" w:rsidRPr="0041313F">
        <w:rPr>
          <w:rStyle w:val="Enfasigrassetto"/>
          <w:rFonts w:ascii="Times New Roman" w:hAnsi="Times New Roman" w:cs="Times New Roman"/>
          <w:b w:val="0"/>
        </w:rPr>
        <w:t xml:space="preserve"> </w:t>
      </w:r>
      <w:r w:rsidR="000852CC" w:rsidRPr="0041313F">
        <w:rPr>
          <w:rStyle w:val="Enfasigrassetto"/>
          <w:rFonts w:ascii="Times New Roman" w:hAnsi="Times New Roman" w:cs="Times New Roman"/>
          <w:b w:val="0"/>
        </w:rPr>
        <w:t xml:space="preserve">L’inottemperanza a tale prescrizione entro i termini previsti dalla </w:t>
      </w:r>
      <w:proofErr w:type="spellStart"/>
      <w:r w:rsidR="000852CC" w:rsidRPr="0041313F">
        <w:rPr>
          <w:rStyle w:val="Enfasigrassetto"/>
          <w:rFonts w:ascii="Times New Roman" w:hAnsi="Times New Roman" w:cs="Times New Roman"/>
          <w:b w:val="0"/>
        </w:rPr>
        <w:t>lex</w:t>
      </w:r>
      <w:proofErr w:type="spellEnd"/>
      <w:r w:rsidR="000852CC" w:rsidRPr="0041313F">
        <w:rPr>
          <w:rStyle w:val="Enfasigrassetto"/>
          <w:rFonts w:ascii="Times New Roman" w:hAnsi="Times New Roman" w:cs="Times New Roman"/>
          <w:b w:val="0"/>
        </w:rPr>
        <w:t xml:space="preserve"> </w:t>
      </w:r>
      <w:proofErr w:type="spellStart"/>
      <w:r w:rsidR="000852CC" w:rsidRPr="0041313F">
        <w:rPr>
          <w:rStyle w:val="Enfasigrassetto"/>
          <w:rFonts w:ascii="Times New Roman" w:hAnsi="Times New Roman" w:cs="Times New Roman"/>
          <w:b w:val="0"/>
        </w:rPr>
        <w:t>specialis</w:t>
      </w:r>
      <w:proofErr w:type="spellEnd"/>
      <w:r w:rsidR="000852CC" w:rsidRPr="0041313F">
        <w:rPr>
          <w:rStyle w:val="Enfasigrassetto"/>
          <w:rFonts w:ascii="Times New Roman" w:hAnsi="Times New Roman" w:cs="Times New Roman"/>
          <w:b w:val="0"/>
        </w:rPr>
        <w:t xml:space="preserve"> ha sempre comportato l’esclusione del concorrente. </w:t>
      </w:r>
    </w:p>
    <w:p w:rsidR="00CE6F1B" w:rsidRPr="0041313F" w:rsidRDefault="00304FD2"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 xml:space="preserve">La prevalente giurisprudenza, infatti, </w:t>
      </w:r>
      <w:r w:rsidR="0044304C">
        <w:rPr>
          <w:rStyle w:val="Enfasigrassetto"/>
          <w:rFonts w:ascii="Times New Roman" w:hAnsi="Times New Roman" w:cs="Times New Roman"/>
          <w:b w:val="0"/>
        </w:rPr>
        <w:t>riteneva che l’art. 75 del D.lgs. 163/2006</w:t>
      </w:r>
      <w:r w:rsidR="00CE6F1B" w:rsidRPr="0041313F">
        <w:rPr>
          <w:rStyle w:val="Enfasigrassetto"/>
          <w:rFonts w:ascii="Times New Roman" w:hAnsi="Times New Roman" w:cs="Times New Roman"/>
          <w:b w:val="0"/>
        </w:rPr>
        <w:t xml:space="preserve"> fosse una norma </w:t>
      </w:r>
      <w:r w:rsidR="00F831F6" w:rsidRPr="0041313F">
        <w:rPr>
          <w:rStyle w:val="Enfasigrassetto"/>
          <w:rFonts w:ascii="Times New Roman" w:hAnsi="Times New Roman" w:cs="Times New Roman"/>
          <w:b w:val="0"/>
        </w:rPr>
        <w:t xml:space="preserve">imperativa, </w:t>
      </w:r>
      <w:r w:rsidR="00CE6F1B" w:rsidRPr="0041313F">
        <w:rPr>
          <w:rStyle w:val="Enfasigrassetto"/>
          <w:rFonts w:ascii="Times New Roman" w:hAnsi="Times New Roman" w:cs="Times New Roman"/>
          <w:b w:val="0"/>
        </w:rPr>
        <w:t>inderogabile e v</w:t>
      </w:r>
      <w:r w:rsidR="00F831F6" w:rsidRPr="0041313F">
        <w:rPr>
          <w:rStyle w:val="Enfasigrassetto"/>
          <w:rFonts w:ascii="Times New Roman" w:hAnsi="Times New Roman" w:cs="Times New Roman"/>
          <w:b w:val="0"/>
        </w:rPr>
        <w:t>incolante per l’</w:t>
      </w:r>
      <w:r w:rsidR="0044304C">
        <w:rPr>
          <w:rStyle w:val="Enfasigrassetto"/>
          <w:rFonts w:ascii="Times New Roman" w:hAnsi="Times New Roman" w:cs="Times New Roman"/>
          <w:b w:val="0"/>
        </w:rPr>
        <w:t>Ente committente</w:t>
      </w:r>
      <w:r w:rsidR="00F831F6" w:rsidRPr="0041313F">
        <w:rPr>
          <w:rStyle w:val="Enfasigrassetto"/>
          <w:rFonts w:ascii="Times New Roman" w:hAnsi="Times New Roman" w:cs="Times New Roman"/>
          <w:b w:val="0"/>
        </w:rPr>
        <w:t>,</w:t>
      </w:r>
      <w:r w:rsidR="00CE6F1B" w:rsidRPr="0041313F">
        <w:rPr>
          <w:rStyle w:val="Enfasigrassetto"/>
          <w:rFonts w:ascii="Times New Roman" w:hAnsi="Times New Roman" w:cs="Times New Roman"/>
          <w:b w:val="0"/>
        </w:rPr>
        <w:t xml:space="preserve"> in qu</w:t>
      </w:r>
      <w:r w:rsidR="0044304C">
        <w:rPr>
          <w:rStyle w:val="Enfasigrassetto"/>
          <w:rFonts w:ascii="Times New Roman" w:hAnsi="Times New Roman" w:cs="Times New Roman"/>
          <w:b w:val="0"/>
        </w:rPr>
        <w:t>anto correlata alla tutela dell’</w:t>
      </w:r>
      <w:r w:rsidR="00CE6F1B" w:rsidRPr="0041313F">
        <w:rPr>
          <w:rStyle w:val="Enfasigrassetto"/>
          <w:rFonts w:ascii="Times New Roman" w:hAnsi="Times New Roman" w:cs="Times New Roman"/>
          <w:b w:val="0"/>
        </w:rPr>
        <w:t xml:space="preserve">interesse </w:t>
      </w:r>
      <w:r w:rsidR="0044304C">
        <w:rPr>
          <w:rStyle w:val="Enfasigrassetto"/>
          <w:rFonts w:ascii="Times New Roman" w:hAnsi="Times New Roman" w:cs="Times New Roman"/>
          <w:b w:val="0"/>
        </w:rPr>
        <w:t>di quest’ultimo</w:t>
      </w:r>
      <w:r w:rsidR="00F831F6" w:rsidRPr="0041313F">
        <w:rPr>
          <w:rStyle w:val="Enfasigrassetto"/>
          <w:rFonts w:ascii="Times New Roman" w:hAnsi="Times New Roman" w:cs="Times New Roman"/>
          <w:b w:val="0"/>
        </w:rPr>
        <w:t>; e</w:t>
      </w:r>
      <w:r w:rsidR="00CE6F1B" w:rsidRPr="0041313F">
        <w:rPr>
          <w:rStyle w:val="Enfasigrassetto"/>
          <w:rFonts w:ascii="Times New Roman" w:hAnsi="Times New Roman" w:cs="Times New Roman"/>
          <w:b w:val="0"/>
        </w:rPr>
        <w:t>ssa, inoltre,</w:t>
      </w:r>
      <w:r w:rsidR="00F831F6" w:rsidRPr="0041313F">
        <w:rPr>
          <w:rStyle w:val="Enfasigrassetto"/>
          <w:rFonts w:ascii="Times New Roman" w:hAnsi="Times New Roman" w:cs="Times New Roman"/>
          <w:b w:val="0"/>
        </w:rPr>
        <w:t xml:space="preserve"> veniva ritenuta</w:t>
      </w:r>
      <w:r w:rsidR="00CE6F1B" w:rsidRPr="0041313F">
        <w:rPr>
          <w:rStyle w:val="Enfasigrassetto"/>
          <w:rFonts w:ascii="Times New Roman" w:hAnsi="Times New Roman" w:cs="Times New Roman"/>
          <w:b w:val="0"/>
        </w:rPr>
        <w:t xml:space="preserve"> parte integrante dell’offerta e non elemento di corr</w:t>
      </w:r>
      <w:r w:rsidR="0044304C">
        <w:rPr>
          <w:rStyle w:val="Enfasigrassetto"/>
          <w:rFonts w:ascii="Times New Roman" w:hAnsi="Times New Roman" w:cs="Times New Roman"/>
          <w:b w:val="0"/>
        </w:rPr>
        <w:t xml:space="preserve">edo della stessa da </w:t>
      </w:r>
      <w:r w:rsidR="00CE6F1B" w:rsidRPr="0041313F">
        <w:rPr>
          <w:rStyle w:val="Enfasigrassetto"/>
          <w:rFonts w:ascii="Times New Roman" w:hAnsi="Times New Roman" w:cs="Times New Roman"/>
          <w:b w:val="0"/>
        </w:rPr>
        <w:t>richiedere e quantificare</w:t>
      </w:r>
      <w:r w:rsidR="0044304C">
        <w:rPr>
          <w:rStyle w:val="Enfasigrassetto"/>
          <w:rFonts w:ascii="Times New Roman" w:hAnsi="Times New Roman" w:cs="Times New Roman"/>
          <w:b w:val="0"/>
        </w:rPr>
        <w:t xml:space="preserve"> </w:t>
      </w:r>
      <w:r w:rsidR="003D5A90">
        <w:rPr>
          <w:rStyle w:val="Enfasigrassetto"/>
          <w:rFonts w:ascii="Times New Roman" w:hAnsi="Times New Roman" w:cs="Times New Roman"/>
          <w:b w:val="0"/>
        </w:rPr>
        <w:t>discrezionalmente</w:t>
      </w:r>
      <w:r w:rsidR="0044304C">
        <w:rPr>
          <w:rStyle w:val="Enfasigrassetto"/>
          <w:rFonts w:ascii="Times New Roman" w:hAnsi="Times New Roman" w:cs="Times New Roman"/>
          <w:b w:val="0"/>
        </w:rPr>
        <w:t xml:space="preserve"> della stazione appaltante</w:t>
      </w:r>
      <w:r w:rsidR="00F831F6" w:rsidRPr="0041313F">
        <w:rPr>
          <w:rStyle w:val="Enfasigrassetto"/>
          <w:rFonts w:ascii="Times New Roman" w:hAnsi="Times New Roman" w:cs="Times New Roman"/>
          <w:b w:val="0"/>
        </w:rPr>
        <w:t>. Per tali motivi</w:t>
      </w:r>
      <w:r w:rsidRPr="0041313F">
        <w:rPr>
          <w:rStyle w:val="Enfasigrassetto"/>
          <w:rFonts w:ascii="Times New Roman" w:hAnsi="Times New Roman" w:cs="Times New Roman"/>
          <w:b w:val="0"/>
        </w:rPr>
        <w:t xml:space="preserve"> la mancata produzione della garanzia </w:t>
      </w:r>
      <w:r w:rsidR="00CE6F1B" w:rsidRPr="0041313F">
        <w:rPr>
          <w:rStyle w:val="Enfasigrassetto"/>
          <w:rFonts w:ascii="Times New Roman" w:hAnsi="Times New Roman" w:cs="Times New Roman"/>
          <w:b w:val="0"/>
        </w:rPr>
        <w:t>o la sua difformità dalle prescrizioni di legge</w:t>
      </w:r>
      <w:r w:rsidR="00F831F6"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gius</w:t>
      </w:r>
      <w:r w:rsidR="00F831F6" w:rsidRPr="0041313F">
        <w:rPr>
          <w:rStyle w:val="Enfasigrassetto"/>
          <w:rFonts w:ascii="Times New Roman" w:hAnsi="Times New Roman" w:cs="Times New Roman"/>
          <w:b w:val="0"/>
        </w:rPr>
        <w:t>tificava</w:t>
      </w:r>
      <w:r w:rsidRPr="0041313F">
        <w:rPr>
          <w:rStyle w:val="Enfasigrassetto"/>
          <w:rFonts w:ascii="Times New Roman" w:hAnsi="Times New Roman" w:cs="Times New Roman"/>
          <w:b w:val="0"/>
        </w:rPr>
        <w:t xml:space="preserve"> l’esclusione dalla gara</w:t>
      </w:r>
      <w:r w:rsidR="00F831F6" w:rsidRPr="0041313F">
        <w:rPr>
          <w:rStyle w:val="Enfasigrassetto"/>
          <w:rFonts w:ascii="Times New Roman" w:hAnsi="Times New Roman" w:cs="Times New Roman"/>
          <w:b w:val="0"/>
        </w:rPr>
        <w:t xml:space="preserve"> del concorrente</w:t>
      </w:r>
      <w:r w:rsidRPr="0041313F">
        <w:rPr>
          <w:rStyle w:val="Enfasigrassetto"/>
          <w:rFonts w:ascii="Times New Roman" w:hAnsi="Times New Roman" w:cs="Times New Roman"/>
          <w:b w:val="0"/>
        </w:rPr>
        <w:t xml:space="preserve"> (</w:t>
      </w:r>
      <w:r w:rsidR="00CE6F1B" w:rsidRPr="0041313F">
        <w:rPr>
          <w:rStyle w:val="Enfasigrassetto"/>
          <w:rFonts w:ascii="Times New Roman" w:hAnsi="Times New Roman" w:cs="Times New Roman"/>
          <w:b w:val="0"/>
        </w:rPr>
        <w:t xml:space="preserve">Consiglio di Stato 5 agosto 2011 n. 4712;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Stato, Sez. V, 12 giugno 2009, n. 3746)</w:t>
      </w:r>
      <w:r w:rsidR="00CE6F1B" w:rsidRPr="0041313F">
        <w:rPr>
          <w:rStyle w:val="Enfasigrassetto"/>
          <w:rFonts w:ascii="Times New Roman" w:hAnsi="Times New Roman" w:cs="Times New Roman"/>
          <w:b w:val="0"/>
        </w:rPr>
        <w:t>.</w:t>
      </w:r>
    </w:p>
    <w:p w:rsidR="00CC7CB9" w:rsidRPr="0041313F" w:rsidRDefault="00CE6F1B"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Tuttavia, a seguito dell’introduzione dell’art. 46, comma 1-bis, del Codice degli appalti (aggiunto</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dall’art. 4, II comma, n. 2, </w:t>
      </w:r>
      <w:proofErr w:type="spellStart"/>
      <w:r w:rsidRPr="0041313F">
        <w:rPr>
          <w:rStyle w:val="Enfasigrassetto"/>
          <w:rFonts w:ascii="Times New Roman" w:hAnsi="Times New Roman" w:cs="Times New Roman"/>
          <w:b w:val="0"/>
        </w:rPr>
        <w:t>lett</w:t>
      </w:r>
      <w:proofErr w:type="spellEnd"/>
      <w:r w:rsidRPr="0041313F">
        <w:rPr>
          <w:rStyle w:val="Enfasigrassetto"/>
          <w:rFonts w:ascii="Times New Roman" w:hAnsi="Times New Roman" w:cs="Times New Roman"/>
          <w:b w:val="0"/>
        </w:rPr>
        <w:t xml:space="preserve">. “d” del D.L. n. 70/2011), </w:t>
      </w:r>
      <w:r w:rsidR="00F831F6" w:rsidRPr="0041313F">
        <w:rPr>
          <w:rStyle w:val="Enfasigrassetto"/>
          <w:rFonts w:ascii="Times New Roman" w:hAnsi="Times New Roman" w:cs="Times New Roman"/>
          <w:b w:val="0"/>
        </w:rPr>
        <w:t xml:space="preserve">è emerso un orientamento giurisprudenziale secondo cui la predetta esclusione </w:t>
      </w:r>
      <w:r w:rsidRPr="0041313F">
        <w:rPr>
          <w:rStyle w:val="Enfasigrassetto"/>
          <w:rFonts w:ascii="Times New Roman" w:hAnsi="Times New Roman" w:cs="Times New Roman"/>
          <w:b w:val="0"/>
        </w:rPr>
        <w:t xml:space="preserve">non </w:t>
      </w:r>
      <w:r w:rsidR="00F831F6" w:rsidRPr="0041313F">
        <w:rPr>
          <w:rStyle w:val="Enfasigrassetto"/>
          <w:rFonts w:ascii="Times New Roman" w:hAnsi="Times New Roman" w:cs="Times New Roman"/>
          <w:b w:val="0"/>
        </w:rPr>
        <w:t>potrebbe</w:t>
      </w:r>
      <w:r w:rsidRPr="0041313F">
        <w:rPr>
          <w:rStyle w:val="Enfasigrassetto"/>
          <w:rFonts w:ascii="Times New Roman" w:hAnsi="Times New Roman" w:cs="Times New Roman"/>
          <w:b w:val="0"/>
        </w:rPr>
        <w:t xml:space="preserve"> più comminarsi</w:t>
      </w:r>
      <w:r w:rsidR="00F831F6" w:rsidRPr="0041313F">
        <w:rPr>
          <w:rStyle w:val="Enfasigrassetto"/>
          <w:rFonts w:ascii="Times New Roman" w:hAnsi="Times New Roman" w:cs="Times New Roman"/>
          <w:b w:val="0"/>
        </w:rPr>
        <w:t xml:space="preserve"> in quanto,</w:t>
      </w:r>
      <w:r w:rsidR="00CC7CB9" w:rsidRPr="0041313F">
        <w:rPr>
          <w:rStyle w:val="Enfasigrassetto"/>
          <w:rFonts w:ascii="Times New Roman" w:hAnsi="Times New Roman" w:cs="Times New Roman"/>
          <w:b w:val="0"/>
        </w:rPr>
        <w:t xml:space="preserve"> tra la cause tassative di esclusione previste</w:t>
      </w:r>
      <w:r w:rsidRPr="0041313F">
        <w:rPr>
          <w:rStyle w:val="Enfasigrassetto"/>
          <w:rFonts w:ascii="Times New Roman" w:hAnsi="Times New Roman" w:cs="Times New Roman"/>
          <w:b w:val="0"/>
        </w:rPr>
        <w:t xml:space="preserve"> </w:t>
      </w:r>
      <w:r w:rsidR="00FC7F6A">
        <w:rPr>
          <w:rStyle w:val="Enfasigrassetto"/>
          <w:rFonts w:ascii="Times New Roman" w:hAnsi="Times New Roman" w:cs="Times New Roman"/>
          <w:b w:val="0"/>
        </w:rPr>
        <w:t xml:space="preserve">dalla </w:t>
      </w:r>
      <w:r w:rsidR="00FC7F6A">
        <w:rPr>
          <w:rStyle w:val="Enfasigrassetto"/>
          <w:rFonts w:ascii="Times New Roman" w:hAnsi="Times New Roman" w:cs="Times New Roman"/>
          <w:b w:val="0"/>
        </w:rPr>
        <w:lastRenderedPageBreak/>
        <w:t>citata disposizione</w:t>
      </w:r>
      <w:r w:rsidR="00CC7CB9" w:rsidRPr="0041313F">
        <w:rPr>
          <w:rStyle w:val="Enfasigrassetto"/>
          <w:rFonts w:ascii="Times New Roman" w:hAnsi="Times New Roman" w:cs="Times New Roman"/>
          <w:b w:val="0"/>
        </w:rPr>
        <w:t>, non rientrerebbe la prestazione di una cauzione</w:t>
      </w:r>
      <w:r w:rsidR="00DF4F69">
        <w:rPr>
          <w:rStyle w:val="Enfasigrassetto"/>
          <w:rFonts w:ascii="Times New Roman" w:hAnsi="Times New Roman" w:cs="Times New Roman"/>
          <w:b w:val="0"/>
        </w:rPr>
        <w:t xml:space="preserve"> </w:t>
      </w:r>
      <w:r w:rsidR="00CC7CB9" w:rsidRPr="0041313F">
        <w:rPr>
          <w:rStyle w:val="Enfasigrassetto"/>
          <w:rFonts w:ascii="Times New Roman" w:hAnsi="Times New Roman" w:cs="Times New Roman"/>
          <w:b w:val="0"/>
        </w:rPr>
        <w:t>provvisoria di importo insufficiente. Di conseguenza, la defici</w:t>
      </w:r>
      <w:r w:rsidR="00FC7F6A">
        <w:rPr>
          <w:rStyle w:val="Enfasigrassetto"/>
          <w:rFonts w:ascii="Times New Roman" w:hAnsi="Times New Roman" w:cs="Times New Roman"/>
          <w:b w:val="0"/>
        </w:rPr>
        <w:t>taria prestazione della garanzia</w:t>
      </w:r>
      <w:r w:rsidR="00CC7CB9" w:rsidRPr="0041313F">
        <w:rPr>
          <w:rStyle w:val="Enfasigrassetto"/>
          <w:rFonts w:ascii="Times New Roman" w:hAnsi="Times New Roman" w:cs="Times New Roman"/>
          <w:b w:val="0"/>
        </w:rPr>
        <w:t xml:space="preserve"> imporrebbe all’amministrazione di richiedere sempre la </w:t>
      </w:r>
      <w:r w:rsidR="0044304C">
        <w:rPr>
          <w:rStyle w:val="Enfasigrassetto"/>
          <w:rFonts w:ascii="Times New Roman" w:hAnsi="Times New Roman" w:cs="Times New Roman"/>
          <w:b w:val="0"/>
        </w:rPr>
        <w:t>sua regolarizzazione</w:t>
      </w:r>
      <w:r w:rsidR="00CC7CB9" w:rsidRPr="0041313F">
        <w:rPr>
          <w:rStyle w:val="Enfasigrassetto"/>
          <w:rFonts w:ascii="Times New Roman" w:hAnsi="Times New Roman" w:cs="Times New Roman"/>
          <w:b w:val="0"/>
        </w:rPr>
        <w:t>,</w:t>
      </w:r>
      <w:r w:rsidR="00FC2F74" w:rsidRPr="0041313F">
        <w:rPr>
          <w:rStyle w:val="Enfasigrassetto"/>
          <w:rFonts w:ascii="Times New Roman" w:hAnsi="Times New Roman" w:cs="Times New Roman"/>
          <w:b w:val="0"/>
        </w:rPr>
        <w:t xml:space="preserve"> </w:t>
      </w:r>
      <w:r w:rsidR="00CC7CB9" w:rsidRPr="0041313F">
        <w:rPr>
          <w:rStyle w:val="Enfasigrassetto"/>
          <w:rFonts w:ascii="Times New Roman" w:hAnsi="Times New Roman" w:cs="Times New Roman"/>
          <w:b w:val="0"/>
        </w:rPr>
        <w:t>vietandole di disporre, per tale motivo, l’esclusione (</w:t>
      </w:r>
      <w:r w:rsidR="00FC2F74" w:rsidRPr="0041313F">
        <w:rPr>
          <w:rStyle w:val="Enfasigrassetto"/>
          <w:rFonts w:ascii="Times New Roman" w:hAnsi="Times New Roman" w:cs="Times New Roman"/>
          <w:b w:val="0"/>
        </w:rPr>
        <w:t>T.A.R.  Palermo sez. III 19/03/2013 n. 647;</w:t>
      </w:r>
      <w:r w:rsidR="00B5070E" w:rsidRPr="0041313F">
        <w:rPr>
          <w:rStyle w:val="Enfasigrassetto"/>
          <w:rFonts w:ascii="Times New Roman" w:hAnsi="Times New Roman" w:cs="Times New Roman"/>
          <w:b w:val="0"/>
        </w:rPr>
        <w:t xml:space="preserve"> T.A.R. Lazio, Roma, Sez. I, 8 marzo 2012, n. 2308; </w:t>
      </w:r>
      <w:hyperlink r:id="rId10" w:history="1">
        <w:r w:rsidR="00B5070E" w:rsidRPr="0041313F">
          <w:rPr>
            <w:rStyle w:val="Enfasigrassetto"/>
            <w:rFonts w:ascii="Times New Roman" w:hAnsi="Times New Roman" w:cs="Times New Roman"/>
            <w:b w:val="0"/>
          </w:rPr>
          <w:t>TAR Campania, Sentenza, Sez. I, 11/10/2012, n. 4066</w:t>
        </w:r>
      </w:hyperlink>
      <w:r w:rsidR="00B5070E" w:rsidRPr="0041313F">
        <w:rPr>
          <w:rStyle w:val="Enfasigrassetto"/>
          <w:rFonts w:ascii="Times New Roman" w:hAnsi="Times New Roman" w:cs="Times New Roman"/>
          <w:b w:val="0"/>
        </w:rPr>
        <w:t xml:space="preserve"> ;</w:t>
      </w:r>
      <w:r w:rsidR="00FC2F74" w:rsidRPr="0041313F">
        <w:rPr>
          <w:rStyle w:val="Enfasigrassetto"/>
          <w:rFonts w:ascii="Times New Roman" w:hAnsi="Times New Roman" w:cs="Times New Roman"/>
          <w:b w:val="0"/>
        </w:rPr>
        <w:t xml:space="preserve"> </w:t>
      </w:r>
      <w:r w:rsidR="00CC7CB9" w:rsidRPr="0041313F">
        <w:rPr>
          <w:rStyle w:val="Enfasigrassetto"/>
          <w:rFonts w:ascii="Times New Roman" w:hAnsi="Times New Roman" w:cs="Times New Roman"/>
          <w:b w:val="0"/>
        </w:rPr>
        <w:t>T.A.R. Veneto, sez. I, 13.9.2011, n.</w:t>
      </w:r>
      <w:r w:rsidR="00FC2F74" w:rsidRPr="0041313F">
        <w:rPr>
          <w:rStyle w:val="Enfasigrassetto"/>
          <w:rFonts w:ascii="Times New Roman" w:hAnsi="Times New Roman" w:cs="Times New Roman"/>
          <w:b w:val="0"/>
        </w:rPr>
        <w:t xml:space="preserve"> </w:t>
      </w:r>
      <w:r w:rsidR="00CC7CB9" w:rsidRPr="0041313F">
        <w:rPr>
          <w:rStyle w:val="Enfasigrassetto"/>
          <w:rFonts w:ascii="Times New Roman" w:hAnsi="Times New Roman" w:cs="Times New Roman"/>
          <w:b w:val="0"/>
        </w:rPr>
        <w:t>1376; T.A.R. Veneto, 8.11.2011, n. 1659; T.A.R. Liguria, 22.9.2011, n. 1396).</w:t>
      </w:r>
    </w:p>
    <w:p w:rsidR="007F154B" w:rsidRPr="0041313F" w:rsidRDefault="00CC7CB9"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Tale posizione ha trovato conferma anche nella giurisprudenza del Consiglio di Stato, secondo</w:t>
      </w:r>
      <w:r w:rsidR="00DF4F69">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la quale “</w:t>
      </w:r>
      <w:r w:rsidRPr="00FC7F6A">
        <w:rPr>
          <w:rStyle w:val="Enfasigrassetto"/>
          <w:rFonts w:ascii="Times New Roman" w:hAnsi="Times New Roman" w:cs="Times New Roman"/>
          <w:b w:val="0"/>
          <w:i/>
        </w:rPr>
        <w:t>La norma (ovvero l’art. 75, comma 6) non prevede, però, alcuna sanzione di inammissibilità</w:t>
      </w:r>
      <w:r w:rsidR="00DF4F69" w:rsidRPr="00FC7F6A">
        <w:rPr>
          <w:rStyle w:val="Enfasigrassetto"/>
          <w:rFonts w:ascii="Times New Roman" w:hAnsi="Times New Roman" w:cs="Times New Roman"/>
          <w:b w:val="0"/>
          <w:i/>
        </w:rPr>
        <w:t xml:space="preserve"> </w:t>
      </w:r>
      <w:r w:rsidRPr="00FC7F6A">
        <w:rPr>
          <w:rStyle w:val="Enfasigrassetto"/>
          <w:rFonts w:ascii="Times New Roman" w:hAnsi="Times New Roman" w:cs="Times New Roman"/>
          <w:b w:val="0"/>
          <w:i/>
        </w:rPr>
        <w:t>dell’offerta o di esclusione del concorrente per l’ipotesi in cui la garanzia in parola</w:t>
      </w:r>
      <w:r w:rsidR="00DF4F69" w:rsidRPr="00FC7F6A">
        <w:rPr>
          <w:rStyle w:val="Enfasigrassetto"/>
          <w:rFonts w:ascii="Times New Roman" w:hAnsi="Times New Roman" w:cs="Times New Roman"/>
          <w:b w:val="0"/>
          <w:i/>
        </w:rPr>
        <w:t xml:space="preserve"> </w:t>
      </w:r>
      <w:r w:rsidRPr="00FC7F6A">
        <w:rPr>
          <w:rStyle w:val="Enfasigrassetto"/>
          <w:rFonts w:ascii="Times New Roman" w:hAnsi="Times New Roman" w:cs="Times New Roman"/>
          <w:b w:val="0"/>
          <w:i/>
        </w:rPr>
        <w:t>non venga prestata; a differenza di quanto prevede, invece, l’ 8° comma dello stesso articolo 75,</w:t>
      </w:r>
      <w:r w:rsidR="00DF4F69" w:rsidRPr="00FC7F6A">
        <w:rPr>
          <w:rStyle w:val="Enfasigrassetto"/>
          <w:rFonts w:ascii="Times New Roman" w:hAnsi="Times New Roman" w:cs="Times New Roman"/>
          <w:b w:val="0"/>
          <w:i/>
        </w:rPr>
        <w:t xml:space="preserve"> </w:t>
      </w:r>
      <w:r w:rsidRPr="00FC7F6A">
        <w:rPr>
          <w:rStyle w:val="Enfasigrassetto"/>
          <w:rFonts w:ascii="Times New Roman" w:hAnsi="Times New Roman" w:cs="Times New Roman"/>
          <w:b w:val="0"/>
          <w:i/>
        </w:rPr>
        <w:t>con riferimento alla garanzia fideiussoria del 10 per cento dell’importo contrattuale per l’esecuzione</w:t>
      </w:r>
      <w:r w:rsidR="00DF4F69" w:rsidRPr="00FC7F6A">
        <w:rPr>
          <w:rStyle w:val="Enfasigrassetto"/>
          <w:rFonts w:ascii="Times New Roman" w:hAnsi="Times New Roman" w:cs="Times New Roman"/>
          <w:b w:val="0"/>
          <w:i/>
        </w:rPr>
        <w:t xml:space="preserve"> </w:t>
      </w:r>
      <w:r w:rsidRPr="00FC7F6A">
        <w:rPr>
          <w:rStyle w:val="Enfasigrassetto"/>
          <w:rFonts w:ascii="Times New Roman" w:hAnsi="Times New Roman" w:cs="Times New Roman"/>
          <w:b w:val="0"/>
          <w:i/>
        </w:rPr>
        <w:t>del contratto, qualora l’offerente risultasse affidatario, garanzia che parimenti deve</w:t>
      </w:r>
      <w:r w:rsidR="00DF4F69" w:rsidRPr="00FC7F6A">
        <w:rPr>
          <w:rStyle w:val="Enfasigrassetto"/>
          <w:rFonts w:ascii="Times New Roman" w:hAnsi="Times New Roman" w:cs="Times New Roman"/>
          <w:b w:val="0"/>
          <w:i/>
        </w:rPr>
        <w:t xml:space="preserve"> </w:t>
      </w:r>
      <w:r w:rsidRPr="00FC7F6A">
        <w:rPr>
          <w:rStyle w:val="Enfasigrassetto"/>
          <w:rFonts w:ascii="Times New Roman" w:hAnsi="Times New Roman" w:cs="Times New Roman"/>
          <w:b w:val="0"/>
          <w:i/>
        </w:rPr>
        <w:t>essere presentata unitamente all’offerta… La disposizione dell’art. 75, comma 6, cod. contratti,</w:t>
      </w:r>
      <w:r w:rsidR="00DF4F69" w:rsidRPr="00FC7F6A">
        <w:rPr>
          <w:rStyle w:val="Enfasigrassetto"/>
          <w:rFonts w:ascii="Times New Roman" w:hAnsi="Times New Roman" w:cs="Times New Roman"/>
          <w:b w:val="0"/>
          <w:i/>
        </w:rPr>
        <w:t xml:space="preserve"> </w:t>
      </w:r>
      <w:r w:rsidRPr="00FC7F6A">
        <w:rPr>
          <w:rStyle w:val="Enfasigrassetto"/>
          <w:rFonts w:ascii="Times New Roman" w:hAnsi="Times New Roman" w:cs="Times New Roman"/>
          <w:b w:val="0"/>
          <w:i/>
        </w:rPr>
        <w:t>va, dunque, intesa nel senso indicato dal giudice di primo grado, ovvero nel senso che l’Amministrazione</w:t>
      </w:r>
      <w:r w:rsidR="00DF4F69" w:rsidRPr="00FC7F6A">
        <w:rPr>
          <w:rStyle w:val="Enfasigrassetto"/>
          <w:rFonts w:ascii="Times New Roman" w:hAnsi="Times New Roman" w:cs="Times New Roman"/>
          <w:b w:val="0"/>
          <w:i/>
        </w:rPr>
        <w:t xml:space="preserve"> </w:t>
      </w:r>
      <w:r w:rsidRPr="00FC7F6A">
        <w:rPr>
          <w:rStyle w:val="Enfasigrassetto"/>
          <w:rFonts w:ascii="Times New Roman" w:hAnsi="Times New Roman" w:cs="Times New Roman"/>
          <w:b w:val="0"/>
          <w:i/>
        </w:rPr>
        <w:t>non può disporre l’esclusione del concorrente che abbia presentato la cauzione</w:t>
      </w:r>
      <w:r w:rsidR="00DF4F69" w:rsidRPr="00FC7F6A">
        <w:rPr>
          <w:rStyle w:val="Enfasigrassetto"/>
          <w:rFonts w:ascii="Times New Roman" w:hAnsi="Times New Roman" w:cs="Times New Roman"/>
          <w:b w:val="0"/>
          <w:i/>
        </w:rPr>
        <w:t xml:space="preserve"> </w:t>
      </w:r>
      <w:r w:rsidRPr="00FC7F6A">
        <w:rPr>
          <w:rStyle w:val="Enfasigrassetto"/>
          <w:rFonts w:ascii="Times New Roman" w:hAnsi="Times New Roman" w:cs="Times New Roman"/>
          <w:b w:val="0"/>
          <w:i/>
        </w:rPr>
        <w:t>di importo inferiore a quello richiesto, e in applicazione della regola di cui all’art. 46, comma</w:t>
      </w:r>
      <w:r w:rsidR="00DF4F69" w:rsidRPr="00FC7F6A">
        <w:rPr>
          <w:rStyle w:val="Enfasigrassetto"/>
          <w:rFonts w:ascii="Times New Roman" w:hAnsi="Times New Roman" w:cs="Times New Roman"/>
          <w:b w:val="0"/>
          <w:i/>
        </w:rPr>
        <w:t xml:space="preserve"> </w:t>
      </w:r>
      <w:r w:rsidRPr="00FC7F6A">
        <w:rPr>
          <w:rStyle w:val="Enfasigrassetto"/>
          <w:rFonts w:ascii="Times New Roman" w:hAnsi="Times New Roman" w:cs="Times New Roman"/>
          <w:b w:val="0"/>
          <w:i/>
        </w:rPr>
        <w:t>1, deve consentire la regolarizzazione degli atti, tempestivamente depositati, ovvero consentire</w:t>
      </w:r>
      <w:r w:rsidR="00DF4F69" w:rsidRPr="00FC7F6A">
        <w:rPr>
          <w:rStyle w:val="Enfasigrassetto"/>
          <w:rFonts w:ascii="Times New Roman" w:hAnsi="Times New Roman" w:cs="Times New Roman"/>
          <w:b w:val="0"/>
          <w:i/>
        </w:rPr>
        <w:t xml:space="preserve"> </w:t>
      </w:r>
      <w:r w:rsidRPr="00FC7F6A">
        <w:rPr>
          <w:rStyle w:val="Enfasigrassetto"/>
          <w:rFonts w:ascii="Times New Roman" w:hAnsi="Times New Roman" w:cs="Times New Roman"/>
          <w:b w:val="0"/>
          <w:i/>
        </w:rPr>
        <w:t>l’integrazione della cauzione insufficiente”</w:t>
      </w:r>
      <w:r w:rsidRPr="0041313F">
        <w:rPr>
          <w:rStyle w:val="Enfasigrassetto"/>
          <w:rFonts w:ascii="Times New Roman" w:hAnsi="Times New Roman" w:cs="Times New Roman"/>
          <w:b w:val="0"/>
        </w:rPr>
        <w:t xml:space="preserve"> (</w:t>
      </w:r>
      <w:proofErr w:type="spellStart"/>
      <w:r w:rsidR="008C4FA4" w:rsidRPr="0041313F">
        <w:rPr>
          <w:rStyle w:val="Enfasigrassetto"/>
          <w:rFonts w:ascii="Times New Roman" w:hAnsi="Times New Roman" w:cs="Times New Roman"/>
          <w:b w:val="0"/>
        </w:rPr>
        <w:t>Cons</w:t>
      </w:r>
      <w:proofErr w:type="spellEnd"/>
      <w:r w:rsidR="008C4FA4" w:rsidRPr="0041313F">
        <w:rPr>
          <w:rStyle w:val="Enfasigrassetto"/>
          <w:rFonts w:ascii="Times New Roman" w:hAnsi="Times New Roman" w:cs="Times New Roman"/>
          <w:b w:val="0"/>
        </w:rPr>
        <w:t xml:space="preserve">. Stato, sez. III, 4 ottobre 2012, n. 5203;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Stato, sez. III, 1.2.2012, n. 493).</w:t>
      </w:r>
      <w:r w:rsidR="00B5070E" w:rsidRPr="0041313F">
        <w:rPr>
          <w:rStyle w:val="Enfasigrassetto"/>
          <w:rFonts w:ascii="Times New Roman" w:hAnsi="Times New Roman" w:cs="Times New Roman"/>
          <w:b w:val="0"/>
        </w:rPr>
        <w:t xml:space="preserve"> </w:t>
      </w:r>
    </w:p>
    <w:p w:rsidR="000F31E7" w:rsidRPr="0041313F" w:rsidRDefault="00E06F06"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Secondo una tesi ancora più estrema</w:t>
      </w:r>
      <w:r w:rsidR="007F154B" w:rsidRPr="0041313F">
        <w:rPr>
          <w:rStyle w:val="Enfasigrassetto"/>
          <w:rFonts w:ascii="Times New Roman" w:hAnsi="Times New Roman" w:cs="Times New Roman"/>
          <w:b w:val="0"/>
        </w:rPr>
        <w:t xml:space="preserve"> il divieto di esclusione sussisterebbe, non solo in caso di cauzione di importo deficitario, ma addirittura nell’ipotesi di mancata pres</w:t>
      </w:r>
      <w:r w:rsidR="0044304C">
        <w:rPr>
          <w:rStyle w:val="Enfasigrassetto"/>
          <w:rFonts w:ascii="Times New Roman" w:hAnsi="Times New Roman" w:cs="Times New Roman"/>
          <w:b w:val="0"/>
        </w:rPr>
        <w:t>entazione della garanzia</w:t>
      </w:r>
      <w:r w:rsidR="006954CF" w:rsidRPr="0041313F">
        <w:rPr>
          <w:rStyle w:val="Enfasigrassetto"/>
          <w:rFonts w:ascii="Times New Roman" w:hAnsi="Times New Roman" w:cs="Times New Roman"/>
          <w:b w:val="0"/>
        </w:rPr>
        <w:t xml:space="preserve"> stessa. </w:t>
      </w:r>
      <w:r w:rsidR="00F831F6" w:rsidRPr="0041313F">
        <w:rPr>
          <w:rStyle w:val="Enfasigrassetto"/>
          <w:rFonts w:ascii="Times New Roman" w:hAnsi="Times New Roman" w:cs="Times New Roman"/>
          <w:b w:val="0"/>
        </w:rPr>
        <w:t>A ta</w:t>
      </w:r>
      <w:r w:rsidRPr="0041313F">
        <w:rPr>
          <w:rStyle w:val="Enfasigrassetto"/>
          <w:rFonts w:ascii="Times New Roman" w:hAnsi="Times New Roman" w:cs="Times New Roman"/>
          <w:b w:val="0"/>
        </w:rPr>
        <w:t>le conclusione</w:t>
      </w:r>
      <w:r w:rsidR="00FC7F6A">
        <w:rPr>
          <w:rStyle w:val="Enfasigrassetto"/>
          <w:rFonts w:ascii="Times New Roman" w:hAnsi="Times New Roman" w:cs="Times New Roman"/>
          <w:b w:val="0"/>
        </w:rPr>
        <w:t xml:space="preserve"> </w:t>
      </w:r>
      <w:r w:rsidR="0044304C">
        <w:rPr>
          <w:rStyle w:val="Enfasigrassetto"/>
          <w:rFonts w:ascii="Times New Roman" w:hAnsi="Times New Roman" w:cs="Times New Roman"/>
          <w:b w:val="0"/>
        </w:rPr>
        <w:t xml:space="preserve">si giungerebbe </w:t>
      </w:r>
      <w:r w:rsidR="00FC7F6A">
        <w:rPr>
          <w:rStyle w:val="Enfasigrassetto"/>
          <w:rFonts w:ascii="Times New Roman" w:hAnsi="Times New Roman" w:cs="Times New Roman"/>
          <w:b w:val="0"/>
        </w:rPr>
        <w:t>in ragione della finalità d</w:t>
      </w:r>
      <w:r w:rsidR="006954CF" w:rsidRPr="0041313F">
        <w:rPr>
          <w:rStyle w:val="Enfasigrassetto"/>
          <w:rFonts w:ascii="Times New Roman" w:hAnsi="Times New Roman" w:cs="Times New Roman"/>
          <w:b w:val="0"/>
        </w:rPr>
        <w:t xml:space="preserve">el nuovo art. 46 comma 1-bis del D.L.gs. 163/2006, </w:t>
      </w:r>
      <w:r w:rsidR="0044304C">
        <w:rPr>
          <w:rStyle w:val="Enfasigrassetto"/>
          <w:rFonts w:ascii="Times New Roman" w:hAnsi="Times New Roman" w:cs="Times New Roman"/>
          <w:b w:val="0"/>
        </w:rPr>
        <w:t xml:space="preserve">che è quella </w:t>
      </w:r>
      <w:r w:rsidR="00FC7F6A">
        <w:rPr>
          <w:rStyle w:val="Enfasigrassetto"/>
          <w:rFonts w:ascii="Times New Roman" w:hAnsi="Times New Roman" w:cs="Times New Roman"/>
          <w:b w:val="0"/>
        </w:rPr>
        <w:t>di</w:t>
      </w:r>
      <w:r w:rsidR="006954CF" w:rsidRPr="0041313F">
        <w:rPr>
          <w:rStyle w:val="Enfasigrassetto"/>
          <w:rFonts w:ascii="Times New Roman" w:hAnsi="Times New Roman" w:cs="Times New Roman"/>
          <w:b w:val="0"/>
        </w:rPr>
        <w:t xml:space="preserve"> limitare le cause di esclusione dalle gare e favorire, in ossequio al principio del </w:t>
      </w:r>
      <w:proofErr w:type="spellStart"/>
      <w:r w:rsidR="006954CF" w:rsidRPr="0041313F">
        <w:rPr>
          <w:rStyle w:val="Enfasigrassetto"/>
          <w:rFonts w:ascii="Times New Roman" w:hAnsi="Times New Roman" w:cs="Times New Roman"/>
          <w:b w:val="0"/>
        </w:rPr>
        <w:t>favor</w:t>
      </w:r>
      <w:proofErr w:type="spellEnd"/>
      <w:r w:rsidR="006954CF" w:rsidRPr="0041313F">
        <w:rPr>
          <w:rStyle w:val="Enfasigrassetto"/>
          <w:rFonts w:ascii="Times New Roman" w:hAnsi="Times New Roman" w:cs="Times New Roman"/>
          <w:b w:val="0"/>
        </w:rPr>
        <w:t xml:space="preserve"> </w:t>
      </w:r>
      <w:proofErr w:type="spellStart"/>
      <w:r w:rsidR="006954CF" w:rsidRPr="0041313F">
        <w:rPr>
          <w:rStyle w:val="Enfasigrassetto"/>
          <w:rFonts w:ascii="Times New Roman" w:hAnsi="Times New Roman" w:cs="Times New Roman"/>
          <w:b w:val="0"/>
        </w:rPr>
        <w:t>partecipationis</w:t>
      </w:r>
      <w:proofErr w:type="spellEnd"/>
      <w:r w:rsidR="006954CF" w:rsidRPr="0041313F">
        <w:rPr>
          <w:rStyle w:val="Enfasigrassetto"/>
          <w:rFonts w:ascii="Times New Roman" w:hAnsi="Times New Roman" w:cs="Times New Roman"/>
          <w:b w:val="0"/>
        </w:rPr>
        <w:t>, la regolarizzazione delle domande e delle offerte prive dei requisiti richiesti dalla legge o dal bando. Di conseguenza</w:t>
      </w:r>
      <w:r w:rsidR="0044304C">
        <w:rPr>
          <w:rStyle w:val="Enfasigrassetto"/>
          <w:rFonts w:ascii="Times New Roman" w:hAnsi="Times New Roman" w:cs="Times New Roman"/>
          <w:b w:val="0"/>
        </w:rPr>
        <w:t>, secondo questa tesi,</w:t>
      </w:r>
      <w:r w:rsidR="006954CF" w:rsidRPr="0041313F">
        <w:rPr>
          <w:rStyle w:val="Enfasigrassetto"/>
          <w:rFonts w:ascii="Times New Roman" w:hAnsi="Times New Roman" w:cs="Times New Roman"/>
          <w:b w:val="0"/>
        </w:rPr>
        <w:t xml:space="preserve"> </w:t>
      </w:r>
      <w:r w:rsidR="007F154B" w:rsidRPr="0041313F">
        <w:rPr>
          <w:rStyle w:val="Enfasigrassetto"/>
          <w:rFonts w:ascii="Times New Roman" w:hAnsi="Times New Roman" w:cs="Times New Roman"/>
          <w:b w:val="0"/>
        </w:rPr>
        <w:t xml:space="preserve">dovrebbe ritenersi affetta da nullità, ai sensi dell'art. 46, comma 1-bis, del codice dei contratti pubblici, la clausola del bando che preveda quale causa di esclusione dalla gara la </w:t>
      </w:r>
      <w:r w:rsidR="0044304C">
        <w:rPr>
          <w:rStyle w:val="Enfasigrassetto"/>
          <w:rFonts w:ascii="Times New Roman" w:hAnsi="Times New Roman" w:cs="Times New Roman"/>
          <w:b w:val="0"/>
          <w:i/>
        </w:rPr>
        <w:t>“</w:t>
      </w:r>
      <w:r w:rsidR="007F154B" w:rsidRPr="00FC7F6A">
        <w:rPr>
          <w:rStyle w:val="Enfasigrassetto"/>
          <w:rFonts w:ascii="Times New Roman" w:hAnsi="Times New Roman" w:cs="Times New Roman"/>
          <w:b w:val="0"/>
          <w:i/>
        </w:rPr>
        <w:t xml:space="preserve">mancata allegazione della polizza fideiussoria di cui all'art. 75, comma 1 </w:t>
      </w:r>
      <w:proofErr w:type="spellStart"/>
      <w:r w:rsidR="007F154B" w:rsidRPr="00FC7F6A">
        <w:rPr>
          <w:rStyle w:val="Enfasigrassetto"/>
          <w:rFonts w:ascii="Times New Roman" w:hAnsi="Times New Roman" w:cs="Times New Roman"/>
          <w:b w:val="0"/>
          <w:i/>
        </w:rPr>
        <w:t>D.Lgs.</w:t>
      </w:r>
      <w:proofErr w:type="spellEnd"/>
      <w:r w:rsidR="007F154B" w:rsidRPr="00FC7F6A">
        <w:rPr>
          <w:rStyle w:val="Enfasigrassetto"/>
          <w:rFonts w:ascii="Times New Roman" w:hAnsi="Times New Roman" w:cs="Times New Roman"/>
          <w:b w:val="0"/>
          <w:i/>
        </w:rPr>
        <w:t xml:space="preserve"> 163/2006”</w:t>
      </w:r>
      <w:r w:rsidR="007F154B" w:rsidRPr="0041313F">
        <w:rPr>
          <w:rStyle w:val="Enfasigrassetto"/>
          <w:rFonts w:ascii="Times New Roman" w:hAnsi="Times New Roman" w:cs="Times New Roman"/>
          <w:b w:val="0"/>
        </w:rPr>
        <w:t xml:space="preserve"> .  (T.A.R.  sez. II  Roma , Lazio 03/01/2013 n. 16</w:t>
      </w:r>
      <w:r w:rsidR="000F31E7" w:rsidRPr="0041313F">
        <w:rPr>
          <w:rStyle w:val="Enfasigrassetto"/>
          <w:rFonts w:ascii="Times New Roman" w:hAnsi="Times New Roman" w:cs="Times New Roman"/>
          <w:b w:val="0"/>
        </w:rPr>
        <w:t>; Tar Piemonte, Torino del 10  maggio 2013 n. 598)</w:t>
      </w:r>
    </w:p>
    <w:p w:rsidR="00350C11" w:rsidRPr="0041313F" w:rsidRDefault="00E06F06"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Il</w:t>
      </w:r>
      <w:r w:rsidR="000F31E7" w:rsidRPr="0041313F">
        <w:rPr>
          <w:rStyle w:val="Enfasigrassetto"/>
          <w:rFonts w:ascii="Times New Roman" w:hAnsi="Times New Roman" w:cs="Times New Roman"/>
          <w:b w:val="0"/>
        </w:rPr>
        <w:t xml:space="preserve"> sopra c</w:t>
      </w:r>
      <w:r w:rsidRPr="0041313F">
        <w:rPr>
          <w:rStyle w:val="Enfasigrassetto"/>
          <w:rFonts w:ascii="Times New Roman" w:hAnsi="Times New Roman" w:cs="Times New Roman"/>
          <w:b w:val="0"/>
        </w:rPr>
        <w:t>itato orientamento</w:t>
      </w:r>
      <w:r w:rsidR="00350C11" w:rsidRPr="0041313F">
        <w:rPr>
          <w:rStyle w:val="Enfasigrassetto"/>
          <w:rFonts w:ascii="Times New Roman" w:hAnsi="Times New Roman" w:cs="Times New Roman"/>
          <w:b w:val="0"/>
        </w:rPr>
        <w:t>,</w:t>
      </w:r>
      <w:r w:rsidR="000F31E7" w:rsidRPr="0041313F">
        <w:rPr>
          <w:rStyle w:val="Enfasigrassetto"/>
          <w:rFonts w:ascii="Times New Roman" w:hAnsi="Times New Roman" w:cs="Times New Roman"/>
          <w:b w:val="0"/>
        </w:rPr>
        <w:t xml:space="preserve"> </w:t>
      </w:r>
      <w:r w:rsidR="00350C11" w:rsidRPr="0041313F">
        <w:rPr>
          <w:rStyle w:val="Enfasigrassetto"/>
          <w:rFonts w:ascii="Times New Roman" w:hAnsi="Times New Roman" w:cs="Times New Roman"/>
          <w:b w:val="0"/>
        </w:rPr>
        <w:t>seppur prevalente</w:t>
      </w:r>
      <w:r w:rsidRPr="0041313F">
        <w:rPr>
          <w:rStyle w:val="Enfasigrassetto"/>
          <w:rFonts w:ascii="Times New Roman" w:hAnsi="Times New Roman" w:cs="Times New Roman"/>
          <w:b w:val="0"/>
        </w:rPr>
        <w:t>, ha</w:t>
      </w:r>
      <w:r w:rsidR="00350C11" w:rsidRPr="0041313F">
        <w:rPr>
          <w:rStyle w:val="Enfasigrassetto"/>
          <w:rFonts w:ascii="Times New Roman" w:hAnsi="Times New Roman" w:cs="Times New Roman"/>
          <w:b w:val="0"/>
        </w:rPr>
        <w:t xml:space="preserve"> trova</w:t>
      </w:r>
      <w:r w:rsidRPr="0041313F">
        <w:rPr>
          <w:rStyle w:val="Enfasigrassetto"/>
          <w:rFonts w:ascii="Times New Roman" w:hAnsi="Times New Roman" w:cs="Times New Roman"/>
          <w:b w:val="0"/>
        </w:rPr>
        <w:t>to recentemente dei pareri discordi nella giurisprudenza di primo grado.</w:t>
      </w:r>
      <w:r w:rsidR="00350C11" w:rsidRPr="0041313F">
        <w:rPr>
          <w:rStyle w:val="Enfasigrassetto"/>
          <w:rFonts w:ascii="Times New Roman" w:hAnsi="Times New Roman" w:cs="Times New Roman"/>
          <w:b w:val="0"/>
        </w:rPr>
        <w:t xml:space="preserve"> </w:t>
      </w:r>
    </w:p>
    <w:p w:rsidR="00350C11" w:rsidRPr="0041313F" w:rsidRDefault="00350C11"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Il TAR Sardegna, con una recente pronuncia, ha affermato che la presentazione di una cauzione provvisoria di importo inf</w:t>
      </w:r>
      <w:r w:rsidR="0044304C">
        <w:rPr>
          <w:rStyle w:val="Enfasigrassetto"/>
          <w:rFonts w:ascii="Times New Roman" w:hAnsi="Times New Roman" w:cs="Times New Roman"/>
          <w:b w:val="0"/>
        </w:rPr>
        <w:t>eriore a quello richiesto dovrebbe</w:t>
      </w:r>
      <w:r w:rsidRPr="0041313F">
        <w:rPr>
          <w:rStyle w:val="Enfasigrassetto"/>
          <w:rFonts w:ascii="Times New Roman" w:hAnsi="Times New Roman" w:cs="Times New Roman"/>
          <w:b w:val="0"/>
        </w:rPr>
        <w:t xml:space="preserve"> comportare l’esclusione dalla gara del concorrente. Ad avviso del Tribunale sardo</w:t>
      </w:r>
      <w:r w:rsidR="0044304C">
        <w:rPr>
          <w:rStyle w:val="Enfasigrassetto"/>
          <w:rFonts w:ascii="Times New Roman" w:hAnsi="Times New Roman" w:cs="Times New Roman"/>
          <w:b w:val="0"/>
        </w:rPr>
        <w:t>,</w:t>
      </w:r>
      <w:r w:rsidR="00FE2410" w:rsidRPr="0041313F">
        <w:rPr>
          <w:rStyle w:val="Enfasigrassetto"/>
          <w:rFonts w:ascii="Times New Roman" w:hAnsi="Times New Roman" w:cs="Times New Roman"/>
          <w:b w:val="0"/>
        </w:rPr>
        <w:t xml:space="preserve"> dalla lettura dell’art. 75 commi 1 e 6 del </w:t>
      </w:r>
      <w:proofErr w:type="spellStart"/>
      <w:r w:rsidR="00FE2410" w:rsidRPr="0041313F">
        <w:rPr>
          <w:rStyle w:val="Enfasigrassetto"/>
          <w:rFonts w:ascii="Times New Roman" w:hAnsi="Times New Roman" w:cs="Times New Roman"/>
          <w:b w:val="0"/>
        </w:rPr>
        <w:t>D.Lgs.</w:t>
      </w:r>
      <w:proofErr w:type="spellEnd"/>
      <w:r w:rsidR="00FE2410" w:rsidRPr="0041313F">
        <w:rPr>
          <w:rStyle w:val="Enfasigrassetto"/>
          <w:rFonts w:ascii="Times New Roman" w:hAnsi="Times New Roman" w:cs="Times New Roman"/>
          <w:b w:val="0"/>
        </w:rPr>
        <w:t xml:space="preserve"> 163/2006 (secondo i quali l’offerta deve essere corredata da una garanzia che persegue il fine di «coprire» la mancata sottoscrizione del contratto per fatto dell’affidatario «</w:t>
      </w:r>
      <w:r w:rsidR="00FE2410" w:rsidRPr="003D5A90">
        <w:rPr>
          <w:rStyle w:val="Enfasigrassetto"/>
          <w:rFonts w:ascii="Times New Roman" w:hAnsi="Times New Roman" w:cs="Times New Roman"/>
          <w:b w:val="0"/>
          <w:i/>
        </w:rPr>
        <w:t>ed è svincolata automaticamente al momento della sottoscrizione del contratto medesimo</w:t>
      </w:r>
      <w:r w:rsidR="00FE2410" w:rsidRPr="0041313F">
        <w:rPr>
          <w:rStyle w:val="Enfasigrassetto"/>
          <w:rFonts w:ascii="Times New Roman" w:hAnsi="Times New Roman" w:cs="Times New Roman"/>
          <w:b w:val="0"/>
        </w:rPr>
        <w:t xml:space="preserve">»), si desumerebbe che la cauzione provvisoria costituisca, strutturalmente, parte integrante dell'offerta e non mero elemento di corredo della stessa che la stazione possa liberamente richiedere e quantificare. E ciò sarebbe dimostrato </w:t>
      </w:r>
      <w:r w:rsidR="0044304C">
        <w:rPr>
          <w:rStyle w:val="Enfasigrassetto"/>
          <w:rFonts w:ascii="Times New Roman" w:hAnsi="Times New Roman" w:cs="Times New Roman"/>
          <w:b w:val="0"/>
        </w:rPr>
        <w:t xml:space="preserve">anche </w:t>
      </w:r>
      <w:r w:rsidR="00FE2410" w:rsidRPr="0041313F">
        <w:rPr>
          <w:rStyle w:val="Enfasigrassetto"/>
          <w:rFonts w:ascii="Times New Roman" w:hAnsi="Times New Roman" w:cs="Times New Roman"/>
          <w:b w:val="0"/>
        </w:rPr>
        <w:t>dal fatto che l</w:t>
      </w:r>
      <w:r w:rsidR="0044304C">
        <w:rPr>
          <w:rStyle w:val="Enfasigrassetto"/>
          <w:rFonts w:ascii="Times New Roman" w:hAnsi="Times New Roman" w:cs="Times New Roman"/>
          <w:b w:val="0"/>
        </w:rPr>
        <w:t xml:space="preserve">a sua </w:t>
      </w:r>
      <w:r w:rsidR="00FE2410" w:rsidRPr="0041313F">
        <w:rPr>
          <w:rStyle w:val="Enfasigrassetto"/>
          <w:rFonts w:ascii="Times New Roman" w:hAnsi="Times New Roman" w:cs="Times New Roman"/>
          <w:b w:val="0"/>
        </w:rPr>
        <w:t>omessa menzione nella dis</w:t>
      </w:r>
      <w:r w:rsidR="003D5A90">
        <w:rPr>
          <w:rStyle w:val="Enfasigrassetto"/>
          <w:rFonts w:ascii="Times New Roman" w:hAnsi="Times New Roman" w:cs="Times New Roman"/>
          <w:b w:val="0"/>
        </w:rPr>
        <w:t>ciplina di gara non ne impedirebbe</w:t>
      </w:r>
      <w:r w:rsidR="00FE2410" w:rsidRPr="0041313F">
        <w:rPr>
          <w:rStyle w:val="Enfasigrassetto"/>
          <w:rFonts w:ascii="Times New Roman" w:hAnsi="Times New Roman" w:cs="Times New Roman"/>
          <w:b w:val="0"/>
        </w:rPr>
        <w:t xml:space="preserve"> l’applicazione avendo, le norme primarie che la prevedono, portata </w:t>
      </w:r>
      <w:r w:rsidR="00FE2410" w:rsidRPr="0041313F">
        <w:rPr>
          <w:rStyle w:val="Enfasigrassetto"/>
          <w:rFonts w:ascii="Times New Roman" w:hAnsi="Times New Roman" w:cs="Times New Roman"/>
          <w:b w:val="0"/>
        </w:rPr>
        <w:lastRenderedPageBreak/>
        <w:t>e</w:t>
      </w:r>
      <w:r w:rsidR="0044304C">
        <w:rPr>
          <w:rStyle w:val="Enfasigrassetto"/>
          <w:rFonts w:ascii="Times New Roman" w:hAnsi="Times New Roman" w:cs="Times New Roman"/>
          <w:b w:val="0"/>
        </w:rPr>
        <w:t>tero integrativa</w:t>
      </w:r>
      <w:r w:rsidR="00FE2410" w:rsidRPr="0041313F">
        <w:rPr>
          <w:rStyle w:val="Enfasigrassetto"/>
          <w:rFonts w:ascii="Times New Roman" w:hAnsi="Times New Roman" w:cs="Times New Roman"/>
          <w:b w:val="0"/>
        </w:rPr>
        <w:t>.</w:t>
      </w:r>
      <w:r w:rsidR="00FC7F6A">
        <w:rPr>
          <w:rStyle w:val="Enfasigrassetto"/>
          <w:rFonts w:ascii="Times New Roman" w:hAnsi="Times New Roman" w:cs="Times New Roman"/>
          <w:b w:val="0"/>
        </w:rPr>
        <w:t xml:space="preserve"> </w:t>
      </w:r>
      <w:r w:rsidR="00FE2410" w:rsidRPr="0041313F">
        <w:rPr>
          <w:rStyle w:val="Enfasigrassetto"/>
          <w:rFonts w:ascii="Times New Roman" w:hAnsi="Times New Roman" w:cs="Times New Roman"/>
          <w:b w:val="0"/>
        </w:rPr>
        <w:t>In conclusion</w:t>
      </w:r>
      <w:r w:rsidR="00FC7F6A">
        <w:rPr>
          <w:rStyle w:val="Enfasigrassetto"/>
          <w:rFonts w:ascii="Times New Roman" w:hAnsi="Times New Roman" w:cs="Times New Roman"/>
          <w:b w:val="0"/>
        </w:rPr>
        <w:t>e</w:t>
      </w:r>
      <w:r w:rsidR="00240888">
        <w:rPr>
          <w:rStyle w:val="Enfasigrassetto"/>
          <w:rFonts w:ascii="Times New Roman" w:hAnsi="Times New Roman" w:cs="Times New Roman"/>
          <w:b w:val="0"/>
        </w:rPr>
        <w:t xml:space="preserve">, secondo il </w:t>
      </w:r>
      <w:r w:rsidR="0044304C">
        <w:rPr>
          <w:rStyle w:val="Enfasigrassetto"/>
          <w:rFonts w:ascii="Times New Roman" w:hAnsi="Times New Roman" w:cs="Times New Roman"/>
          <w:b w:val="0"/>
        </w:rPr>
        <w:t>giudice di prime cure</w:t>
      </w:r>
      <w:r w:rsidR="00FE2410" w:rsidRPr="0041313F">
        <w:rPr>
          <w:rStyle w:val="Enfasigrassetto"/>
          <w:rFonts w:ascii="Times New Roman" w:hAnsi="Times New Roman" w:cs="Times New Roman"/>
          <w:b w:val="0"/>
        </w:rPr>
        <w:t>, la presta</w:t>
      </w:r>
      <w:r w:rsidR="0044304C">
        <w:rPr>
          <w:rStyle w:val="Enfasigrassetto"/>
          <w:rFonts w:ascii="Times New Roman" w:hAnsi="Times New Roman" w:cs="Times New Roman"/>
          <w:b w:val="0"/>
        </w:rPr>
        <w:t>zione della garanzia costituirebbe</w:t>
      </w:r>
      <w:r w:rsidR="00FE2410" w:rsidRPr="0041313F">
        <w:rPr>
          <w:rStyle w:val="Enfasigrassetto"/>
          <w:rFonts w:ascii="Times New Roman" w:hAnsi="Times New Roman" w:cs="Times New Roman"/>
          <w:b w:val="0"/>
        </w:rPr>
        <w:t xml:space="preserve"> un elemento essenziale</w:t>
      </w:r>
      <w:r w:rsidR="0044304C">
        <w:rPr>
          <w:rStyle w:val="Enfasigrassetto"/>
          <w:rFonts w:ascii="Times New Roman" w:hAnsi="Times New Roman" w:cs="Times New Roman"/>
          <w:b w:val="0"/>
        </w:rPr>
        <w:t xml:space="preserve"> dell’offerta</w:t>
      </w:r>
      <w:r w:rsidR="00FE2410" w:rsidRPr="0041313F">
        <w:rPr>
          <w:rStyle w:val="Enfasigrassetto"/>
          <w:rFonts w:ascii="Times New Roman" w:hAnsi="Times New Roman" w:cs="Times New Roman"/>
          <w:b w:val="0"/>
        </w:rPr>
        <w:t xml:space="preserve">, e la </w:t>
      </w:r>
      <w:r w:rsidR="003D5A90">
        <w:rPr>
          <w:rStyle w:val="Enfasigrassetto"/>
          <w:rFonts w:ascii="Times New Roman" w:hAnsi="Times New Roman" w:cs="Times New Roman"/>
          <w:b w:val="0"/>
        </w:rPr>
        <w:t>stazione appaltante non potrebbe</w:t>
      </w:r>
      <w:r w:rsidR="00FE2410" w:rsidRPr="0041313F">
        <w:rPr>
          <w:rStyle w:val="Enfasigrassetto"/>
          <w:rFonts w:ascii="Times New Roman" w:hAnsi="Times New Roman" w:cs="Times New Roman"/>
          <w:b w:val="0"/>
        </w:rPr>
        <w:t xml:space="preserve"> consentire alcuna integrazione in caso di mancata presentazione </w:t>
      </w:r>
      <w:r w:rsidR="00345190" w:rsidRPr="0041313F">
        <w:rPr>
          <w:rStyle w:val="Enfasigrassetto"/>
          <w:rFonts w:ascii="Times New Roman" w:hAnsi="Times New Roman" w:cs="Times New Roman"/>
          <w:b w:val="0"/>
        </w:rPr>
        <w:t xml:space="preserve">o importo deficitario della </w:t>
      </w:r>
      <w:r w:rsidR="003D5A90">
        <w:rPr>
          <w:rStyle w:val="Enfasigrassetto"/>
          <w:rFonts w:ascii="Times New Roman" w:hAnsi="Times New Roman" w:cs="Times New Roman"/>
          <w:b w:val="0"/>
        </w:rPr>
        <w:t>cauzione</w:t>
      </w:r>
      <w:r w:rsidR="00345190" w:rsidRPr="0041313F">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 pena l’alterazione della</w:t>
      </w:r>
      <w:r w:rsidR="00345190" w:rsidRPr="0041313F">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regola de</w:t>
      </w:r>
      <w:r w:rsidR="00345190" w:rsidRPr="0041313F">
        <w:rPr>
          <w:rStyle w:val="Enfasigrassetto"/>
          <w:rFonts w:ascii="Times New Roman" w:hAnsi="Times New Roman" w:cs="Times New Roman"/>
          <w:b w:val="0"/>
        </w:rPr>
        <w:t xml:space="preserve">lla par condicio delle imprese </w:t>
      </w:r>
      <w:r w:rsidRPr="0041313F">
        <w:rPr>
          <w:rStyle w:val="Enfasigrassetto"/>
          <w:rFonts w:ascii="Times New Roman" w:hAnsi="Times New Roman" w:cs="Times New Roman"/>
          <w:b w:val="0"/>
        </w:rPr>
        <w:t xml:space="preserve">(Tar </w:t>
      </w:r>
      <w:r w:rsidR="0044304C">
        <w:rPr>
          <w:rStyle w:val="Enfasigrassetto"/>
          <w:rFonts w:ascii="Times New Roman" w:hAnsi="Times New Roman" w:cs="Times New Roman"/>
          <w:b w:val="0"/>
        </w:rPr>
        <w:t>Sardegna</w:t>
      </w:r>
      <w:r w:rsidR="007F4C1C">
        <w:rPr>
          <w:rStyle w:val="Enfasigrassetto"/>
          <w:rFonts w:ascii="Times New Roman" w:hAnsi="Times New Roman" w:cs="Times New Roman"/>
          <w:b w:val="0"/>
        </w:rPr>
        <w:t>, Sez. I,</w:t>
      </w:r>
      <w:r w:rsidR="0044304C">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13 febbraio 2013 n. 121)</w:t>
      </w:r>
      <w:r w:rsidR="00345190" w:rsidRPr="0041313F">
        <w:rPr>
          <w:rStyle w:val="Enfasigrassetto"/>
          <w:rFonts w:ascii="Times New Roman" w:hAnsi="Times New Roman" w:cs="Times New Roman"/>
          <w:b w:val="0"/>
        </w:rPr>
        <w:t>.</w:t>
      </w:r>
    </w:p>
    <w:p w:rsidR="00690A18" w:rsidRPr="0041313F" w:rsidRDefault="00345190" w:rsidP="00736141">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 xml:space="preserve">Dello stesso avviso è l’Autorità per la Vigilanza </w:t>
      </w:r>
      <w:r w:rsidR="00656FE3" w:rsidRPr="0041313F">
        <w:rPr>
          <w:rStyle w:val="Enfasigrassetto"/>
          <w:rFonts w:ascii="Times New Roman" w:hAnsi="Times New Roman" w:cs="Times New Roman"/>
          <w:b w:val="0"/>
        </w:rPr>
        <w:t>sui contratti pubblici di lavori, servizi e forniture,</w:t>
      </w:r>
      <w:r w:rsidR="00416831" w:rsidRPr="0041313F">
        <w:rPr>
          <w:rStyle w:val="Enfasigrassetto"/>
          <w:rFonts w:ascii="Times New Roman" w:hAnsi="Times New Roman" w:cs="Times New Roman"/>
          <w:b w:val="0"/>
        </w:rPr>
        <w:t xml:space="preserve"> secondo la quale</w:t>
      </w:r>
      <w:r w:rsidR="00240888">
        <w:rPr>
          <w:rStyle w:val="Enfasigrassetto"/>
          <w:rFonts w:ascii="Times New Roman" w:hAnsi="Times New Roman" w:cs="Times New Roman"/>
          <w:b w:val="0"/>
        </w:rPr>
        <w:t>,</w:t>
      </w:r>
      <w:r w:rsidR="00416831" w:rsidRPr="0041313F">
        <w:rPr>
          <w:rStyle w:val="Enfasigrassetto"/>
          <w:rFonts w:ascii="Times New Roman" w:hAnsi="Times New Roman" w:cs="Times New Roman"/>
          <w:b w:val="0"/>
        </w:rPr>
        <w:t xml:space="preserve"> costituisce causa</w:t>
      </w:r>
      <w:r w:rsidR="00656FE3" w:rsidRPr="0041313F">
        <w:rPr>
          <w:rStyle w:val="Enfasigrassetto"/>
          <w:rFonts w:ascii="Times New Roman" w:hAnsi="Times New Roman" w:cs="Times New Roman"/>
          <w:b w:val="0"/>
        </w:rPr>
        <w:t xml:space="preserve"> di esclusione</w:t>
      </w:r>
      <w:r w:rsidR="00240888">
        <w:rPr>
          <w:rStyle w:val="Enfasigrassetto"/>
          <w:rFonts w:ascii="Times New Roman" w:hAnsi="Times New Roman" w:cs="Times New Roman"/>
          <w:b w:val="0"/>
        </w:rPr>
        <w:t>,</w:t>
      </w:r>
      <w:r w:rsidR="00656FE3" w:rsidRPr="0041313F">
        <w:rPr>
          <w:rStyle w:val="Enfasigrassetto"/>
          <w:rFonts w:ascii="Times New Roman" w:hAnsi="Times New Roman" w:cs="Times New Roman"/>
          <w:b w:val="0"/>
        </w:rPr>
        <w:t> tanto la mancata presentazione della cauzione provvisoria</w:t>
      </w:r>
      <w:r w:rsidR="00240888">
        <w:rPr>
          <w:rStyle w:val="Enfasigrassetto"/>
          <w:rFonts w:ascii="Times New Roman" w:hAnsi="Times New Roman" w:cs="Times New Roman"/>
          <w:b w:val="0"/>
        </w:rPr>
        <w:t>,</w:t>
      </w:r>
      <w:r w:rsidR="007C1C58">
        <w:rPr>
          <w:rStyle w:val="Enfasigrassetto"/>
          <w:rFonts w:ascii="Times New Roman" w:hAnsi="Times New Roman" w:cs="Times New Roman"/>
          <w:b w:val="0"/>
        </w:rPr>
        <w:t xml:space="preserve"> </w:t>
      </w:r>
      <w:r w:rsidR="00656FE3" w:rsidRPr="0041313F">
        <w:rPr>
          <w:rStyle w:val="Enfasigrassetto"/>
          <w:rFonts w:ascii="Times New Roman" w:hAnsi="Times New Roman" w:cs="Times New Roman"/>
          <w:b w:val="0"/>
        </w:rPr>
        <w:t xml:space="preserve">quanto la sua allegazione con importo inferiore a quello richiesto </w:t>
      </w:r>
      <w:r w:rsidR="00656FE3" w:rsidRPr="00240888">
        <w:rPr>
          <w:rStyle w:val="Enfasigrassetto"/>
          <w:rFonts w:ascii="Times New Roman" w:hAnsi="Times New Roman" w:cs="Times New Roman"/>
          <w:b w:val="0"/>
          <w:i/>
        </w:rPr>
        <w:t>(“Alla luce di quanto osservato, costituiscono cause di esclusione: mancata presentazione della cauzione provvisoria…. cauzione di importo errato in diminuzione, fermo restando quanto sopra circa l’errore formale; rientra, in tale ultima ipotesi, il caso della cauzione presentata in misura dimezzata senza il rispetto di quanto osservato sul possesso di certificazione del sistema di qualità conforme alle norme europee della serie UNI CEI ISO 9000”)</w:t>
      </w:r>
      <w:r w:rsidR="00656FE3" w:rsidRPr="0041313F">
        <w:rPr>
          <w:rStyle w:val="Enfasigrassetto"/>
          <w:rFonts w:ascii="Times New Roman" w:hAnsi="Times New Roman" w:cs="Times New Roman"/>
          <w:b w:val="0"/>
        </w:rPr>
        <w:t xml:space="preserve"> (AVCP </w:t>
      </w:r>
      <w:r w:rsidR="007F154B" w:rsidRPr="0041313F">
        <w:rPr>
          <w:rStyle w:val="Enfasigrassetto"/>
          <w:rFonts w:ascii="Times New Roman" w:hAnsi="Times New Roman" w:cs="Times New Roman"/>
          <w:b w:val="0"/>
        </w:rPr>
        <w:t>Determinazione n. 4 del 10 ottobre 2012</w:t>
      </w:r>
      <w:r w:rsidR="00656FE3" w:rsidRPr="0041313F">
        <w:rPr>
          <w:rStyle w:val="Enfasigrassetto"/>
          <w:rFonts w:ascii="Times New Roman" w:hAnsi="Times New Roman" w:cs="Times New Roman"/>
          <w:b w:val="0"/>
        </w:rPr>
        <w:t>).</w:t>
      </w:r>
    </w:p>
    <w:p w:rsidR="00537465" w:rsidRPr="00537465" w:rsidRDefault="00537465" w:rsidP="00537465">
      <w:pPr>
        <w:pStyle w:val="Nessunaspaziatura"/>
        <w:numPr>
          <w:ilvl w:val="0"/>
          <w:numId w:val="17"/>
        </w:numPr>
        <w:spacing w:line="360" w:lineRule="auto"/>
        <w:ind w:left="0" w:hanging="284"/>
        <w:jc w:val="both"/>
        <w:rPr>
          <w:rStyle w:val="Enfasigrassetto"/>
          <w:rFonts w:ascii="Times New Roman" w:hAnsi="Times New Roman" w:cs="Times New Roman"/>
          <w:b w:val="0"/>
        </w:rPr>
      </w:pPr>
      <w:r>
        <w:rPr>
          <w:rStyle w:val="Enfasigrassetto"/>
          <w:rFonts w:ascii="Times New Roman" w:hAnsi="Times New Roman" w:cs="Times New Roman"/>
        </w:rPr>
        <w:t>La</w:t>
      </w:r>
      <w:r w:rsidRPr="00483477">
        <w:rPr>
          <w:rStyle w:val="Enfasigrassetto"/>
          <w:rFonts w:ascii="Times New Roman" w:hAnsi="Times New Roman" w:cs="Times New Roman"/>
        </w:rPr>
        <w:t xml:space="preserve"> cauzione provvisoria negli affidamenti in economia</w:t>
      </w:r>
    </w:p>
    <w:p w:rsidR="00537465" w:rsidRPr="0041313F" w:rsidRDefault="00537465" w:rsidP="00537465">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Gli affidamenti in economia</w:t>
      </w:r>
      <w:r w:rsidR="00A12D18">
        <w:rPr>
          <w:rStyle w:val="Enfasigrassetto"/>
          <w:rFonts w:ascii="Times New Roman" w:hAnsi="Times New Roman" w:cs="Times New Roman"/>
          <w:b w:val="0"/>
        </w:rPr>
        <w:t xml:space="preserve"> di lavori, servizi e forniture</w:t>
      </w:r>
      <w:r w:rsidRPr="0041313F">
        <w:rPr>
          <w:rStyle w:val="Enfasigrassetto"/>
          <w:rFonts w:ascii="Times New Roman" w:hAnsi="Times New Roman" w:cs="Times New Roman"/>
          <w:b w:val="0"/>
        </w:rPr>
        <w:t xml:space="preserve"> veng</w:t>
      </w:r>
      <w:r>
        <w:rPr>
          <w:rStyle w:val="Enfasigrassetto"/>
          <w:rFonts w:ascii="Times New Roman" w:hAnsi="Times New Roman" w:cs="Times New Roman"/>
          <w:b w:val="0"/>
        </w:rPr>
        <w:t>ono regolamentati</w:t>
      </w:r>
      <w:r w:rsidRPr="0041313F">
        <w:rPr>
          <w:rStyle w:val="Enfasigrassetto"/>
          <w:rFonts w:ascii="Times New Roman" w:hAnsi="Times New Roman" w:cs="Times New Roman"/>
          <w:b w:val="0"/>
        </w:rPr>
        <w:t xml:space="preserve"> dall’art. 125 del </w:t>
      </w:r>
      <w:proofErr w:type="spellStart"/>
      <w:r w:rsidRPr="0041313F">
        <w:rPr>
          <w:rStyle w:val="Enfasigrassetto"/>
          <w:rFonts w:ascii="Times New Roman" w:hAnsi="Times New Roman" w:cs="Times New Roman"/>
          <w:b w:val="0"/>
        </w:rPr>
        <w:t>D.Lgs.</w:t>
      </w:r>
      <w:proofErr w:type="spellEnd"/>
      <w:r w:rsidRPr="0041313F">
        <w:rPr>
          <w:rStyle w:val="Enfasigrassetto"/>
          <w:rFonts w:ascii="Times New Roman" w:hAnsi="Times New Roman" w:cs="Times New Roman"/>
          <w:b w:val="0"/>
        </w:rPr>
        <w:t xml:space="preserve"> 163/2006</w:t>
      </w:r>
      <w:r>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 non trovando applicazione tutte l</w:t>
      </w:r>
      <w:r>
        <w:rPr>
          <w:rStyle w:val="Enfasigrassetto"/>
          <w:rFonts w:ascii="Times New Roman" w:hAnsi="Times New Roman" w:cs="Times New Roman"/>
          <w:b w:val="0"/>
        </w:rPr>
        <w:t>e altre disposizioni del Codice se non espressamente richiamate dalla lettera di invito.</w:t>
      </w:r>
      <w:r w:rsidR="007F4C1C">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Il comma 14 dell’art. 125 del </w:t>
      </w:r>
      <w:proofErr w:type="spellStart"/>
      <w:r w:rsidRPr="0041313F">
        <w:rPr>
          <w:rStyle w:val="Enfasigrassetto"/>
          <w:rFonts w:ascii="Times New Roman" w:hAnsi="Times New Roman" w:cs="Times New Roman"/>
          <w:b w:val="0"/>
        </w:rPr>
        <w:t>D.Lgs.</w:t>
      </w:r>
      <w:proofErr w:type="spellEnd"/>
      <w:r w:rsidRPr="0041313F">
        <w:rPr>
          <w:rStyle w:val="Enfasigrassetto"/>
          <w:rFonts w:ascii="Times New Roman" w:hAnsi="Times New Roman" w:cs="Times New Roman"/>
          <w:b w:val="0"/>
        </w:rPr>
        <w:t xml:space="preserve"> 1</w:t>
      </w:r>
      <w:r w:rsidR="00A12D18">
        <w:rPr>
          <w:rStyle w:val="Enfasigrassetto"/>
          <w:rFonts w:ascii="Times New Roman" w:hAnsi="Times New Roman" w:cs="Times New Roman"/>
          <w:b w:val="0"/>
        </w:rPr>
        <w:t>63/2006 è illuminante</w:t>
      </w:r>
      <w:r w:rsidRPr="0041313F">
        <w:rPr>
          <w:rStyle w:val="Enfasigrassetto"/>
          <w:rFonts w:ascii="Times New Roman" w:hAnsi="Times New Roman" w:cs="Times New Roman"/>
          <w:b w:val="0"/>
        </w:rPr>
        <w:t xml:space="preserve"> al riguardo, stabilendo che </w:t>
      </w:r>
      <w:r w:rsidRPr="005669BA">
        <w:rPr>
          <w:rStyle w:val="Enfasigrassetto"/>
          <w:rFonts w:ascii="Times New Roman" w:hAnsi="Times New Roman" w:cs="Times New Roman"/>
          <w:b w:val="0"/>
          <w:i/>
        </w:rPr>
        <w:t>“i procedimenti di acquisizione di prestazioni in economia sono disciplinati, nel rispetto del presente articolo, nonché dei principi in tema di procedure di affidamento e di esecuzione del contratto desumibili dal presente codice, dal regolamento”.</w:t>
      </w:r>
      <w:r w:rsidRPr="0041313F">
        <w:rPr>
          <w:rStyle w:val="Enfasigrassetto"/>
          <w:rFonts w:ascii="Times New Roman" w:hAnsi="Times New Roman" w:cs="Times New Roman"/>
          <w:b w:val="0"/>
        </w:rPr>
        <w:t xml:space="preserve"> </w:t>
      </w:r>
    </w:p>
    <w:p w:rsidR="00537465" w:rsidRPr="002A01AB" w:rsidRDefault="00537465" w:rsidP="00537465">
      <w:pPr>
        <w:pStyle w:val="Nessunaspaziatura"/>
        <w:spacing w:line="360" w:lineRule="auto"/>
        <w:jc w:val="both"/>
        <w:rPr>
          <w:rStyle w:val="Enfasigrassetto"/>
          <w:rFonts w:ascii="Times New Roman" w:hAnsi="Times New Roman" w:cs="Times New Roman"/>
          <w:b w:val="0"/>
        </w:rPr>
      </w:pPr>
      <w:r w:rsidRPr="002A01AB">
        <w:rPr>
          <w:rStyle w:val="Enfasigrassetto"/>
          <w:rFonts w:ascii="Times New Roman" w:hAnsi="Times New Roman" w:cs="Times New Roman"/>
          <w:b w:val="0"/>
        </w:rPr>
        <w:t xml:space="preserve">In sostanza gli appalti in economia sono disciplinati: dall’art. 125 del </w:t>
      </w:r>
      <w:proofErr w:type="spellStart"/>
      <w:r w:rsidRPr="002A01AB">
        <w:rPr>
          <w:rStyle w:val="Enfasigrassetto"/>
          <w:rFonts w:ascii="Times New Roman" w:hAnsi="Times New Roman" w:cs="Times New Roman"/>
          <w:b w:val="0"/>
        </w:rPr>
        <w:t>D.Lgs.</w:t>
      </w:r>
      <w:proofErr w:type="spellEnd"/>
      <w:r w:rsidRPr="002A01AB">
        <w:rPr>
          <w:rStyle w:val="Enfasigrassetto"/>
          <w:rFonts w:ascii="Times New Roman" w:hAnsi="Times New Roman" w:cs="Times New Roman"/>
          <w:b w:val="0"/>
        </w:rPr>
        <w:t xml:space="preserve"> 163/2006, dalle norme di attuazione dell’art. 125 cit</w:t>
      </w:r>
      <w:r w:rsidR="00A12D18">
        <w:rPr>
          <w:rStyle w:val="Enfasigrassetto"/>
          <w:rFonts w:ascii="Times New Roman" w:hAnsi="Times New Roman" w:cs="Times New Roman"/>
          <w:b w:val="0"/>
        </w:rPr>
        <w:t>ato</w:t>
      </w:r>
      <w:r w:rsidRPr="002A01AB">
        <w:rPr>
          <w:rStyle w:val="Enfasigrassetto"/>
          <w:rFonts w:ascii="Times New Roman" w:hAnsi="Times New Roman" w:cs="Times New Roman"/>
          <w:b w:val="0"/>
        </w:rPr>
        <w:t xml:space="preserve"> </w:t>
      </w:r>
      <w:r w:rsidR="007F4C1C">
        <w:rPr>
          <w:rStyle w:val="Enfasigrassetto"/>
          <w:rFonts w:ascii="Times New Roman" w:hAnsi="Times New Roman" w:cs="Times New Roman"/>
          <w:b w:val="0"/>
        </w:rPr>
        <w:t>(contenute nel D.P.R. 207/2010) e</w:t>
      </w:r>
      <w:r w:rsidRPr="002A01AB">
        <w:rPr>
          <w:rStyle w:val="Enfasigrassetto"/>
          <w:rFonts w:ascii="Times New Roman" w:hAnsi="Times New Roman" w:cs="Times New Roman"/>
          <w:b w:val="0"/>
        </w:rPr>
        <w:t xml:space="preserve"> dai principi desumibili dal Codice</w:t>
      </w:r>
      <w:r w:rsidRPr="002A01AB">
        <w:rPr>
          <w:rStyle w:val="Rimandonotaapidipagina"/>
          <w:rFonts w:ascii="Times New Roman" w:hAnsi="Times New Roman" w:cs="Times New Roman"/>
          <w:bCs/>
        </w:rPr>
        <w:footnoteReference w:id="8"/>
      </w:r>
      <w:r w:rsidRPr="002A01AB">
        <w:rPr>
          <w:rStyle w:val="Enfasigrassetto"/>
          <w:rFonts w:ascii="Times New Roman" w:hAnsi="Times New Roman" w:cs="Times New Roman"/>
          <w:b w:val="0"/>
        </w:rPr>
        <w:t xml:space="preserve">.       </w:t>
      </w:r>
    </w:p>
    <w:p w:rsidR="003D5A90" w:rsidRDefault="00537465" w:rsidP="00537465">
      <w:pPr>
        <w:pStyle w:val="Nessunaspaziatura"/>
        <w:spacing w:line="360" w:lineRule="auto"/>
        <w:jc w:val="both"/>
        <w:rPr>
          <w:rStyle w:val="Enfasigrassetto"/>
          <w:rFonts w:ascii="Times New Roman" w:hAnsi="Times New Roman" w:cs="Times New Roman"/>
          <w:b w:val="0"/>
        </w:rPr>
      </w:pPr>
      <w:r w:rsidRPr="002A01AB">
        <w:rPr>
          <w:rStyle w:val="Enfasigrassetto"/>
          <w:rFonts w:ascii="Times New Roman" w:hAnsi="Times New Roman" w:cs="Times New Roman"/>
          <w:b w:val="0"/>
        </w:rPr>
        <w:t xml:space="preserve">Sulla scorta delle considerazioni sopra esposte si è discusso se l’art. 75 del </w:t>
      </w:r>
      <w:proofErr w:type="spellStart"/>
      <w:r w:rsidRPr="002A01AB">
        <w:rPr>
          <w:rStyle w:val="Enfasigrassetto"/>
          <w:rFonts w:ascii="Times New Roman" w:hAnsi="Times New Roman" w:cs="Times New Roman"/>
          <w:b w:val="0"/>
        </w:rPr>
        <w:t>D.Lgs.</w:t>
      </w:r>
      <w:proofErr w:type="spellEnd"/>
      <w:r w:rsidRPr="002A01AB">
        <w:rPr>
          <w:rStyle w:val="Enfasigrassetto"/>
          <w:rFonts w:ascii="Times New Roman" w:hAnsi="Times New Roman" w:cs="Times New Roman"/>
          <w:b w:val="0"/>
        </w:rPr>
        <w:t xml:space="preserve"> 163/2006 potesse trovare applicazione anche agli affidamenti in economia.</w:t>
      </w:r>
      <w:r w:rsidR="003D5A90">
        <w:rPr>
          <w:rStyle w:val="Enfasigrassetto"/>
          <w:rFonts w:ascii="Times New Roman" w:hAnsi="Times New Roman" w:cs="Times New Roman"/>
          <w:b w:val="0"/>
        </w:rPr>
        <w:t xml:space="preserve"> </w:t>
      </w:r>
    </w:p>
    <w:p w:rsidR="00537465" w:rsidRPr="002A01AB" w:rsidRDefault="00537465" w:rsidP="00537465">
      <w:pPr>
        <w:pStyle w:val="Nessunaspaziatura"/>
        <w:spacing w:line="360" w:lineRule="auto"/>
        <w:jc w:val="both"/>
        <w:rPr>
          <w:rStyle w:val="Enfasigrassetto"/>
          <w:rFonts w:ascii="Times New Roman" w:hAnsi="Times New Roman" w:cs="Times New Roman"/>
          <w:b w:val="0"/>
        </w:rPr>
      </w:pPr>
      <w:r w:rsidRPr="002A01AB">
        <w:rPr>
          <w:rStyle w:val="Enfasigrassetto"/>
          <w:rFonts w:ascii="Times New Roman" w:hAnsi="Times New Roman" w:cs="Times New Roman"/>
          <w:b w:val="0"/>
        </w:rPr>
        <w:t>Le recenti pronunce giurisprudenziali sembrano orientate nel senso di escludere tale possibilità.</w:t>
      </w:r>
    </w:p>
    <w:p w:rsidR="00537465" w:rsidRPr="002A01AB" w:rsidRDefault="00537465" w:rsidP="00537465">
      <w:pPr>
        <w:pStyle w:val="Nessunaspaziatura"/>
        <w:spacing w:line="360" w:lineRule="auto"/>
        <w:jc w:val="both"/>
        <w:rPr>
          <w:rStyle w:val="Enfasigrassetto"/>
          <w:rFonts w:ascii="Times New Roman" w:hAnsi="Times New Roman" w:cs="Times New Roman"/>
          <w:b w:val="0"/>
          <w:bCs w:val="0"/>
        </w:rPr>
      </w:pPr>
      <w:r w:rsidRPr="002A01AB">
        <w:rPr>
          <w:rStyle w:val="Enfasigrassetto"/>
          <w:rFonts w:ascii="Times New Roman" w:hAnsi="Times New Roman" w:cs="Times New Roman"/>
          <w:b w:val="0"/>
        </w:rPr>
        <w:t>E’ stato affermato, al riguardo, che nelle procedure di acquisizione in economia di servizi e forniture la stazione appaltante non sia tenuta a richiedere ai partecipanti la presentazione di una garanzia provvisoria atteso che, l’art. 125, commi 11, 12 e 14, del codice dei contratti, non farebbe alcun richiamo all’istituto della cauzione provvisoria n</w:t>
      </w:r>
      <w:r w:rsidR="007F4C1C">
        <w:rPr>
          <w:rStyle w:val="Enfasigrassetto"/>
          <w:rFonts w:ascii="Times New Roman" w:hAnsi="Times New Roman" w:cs="Times New Roman"/>
          <w:b w:val="0"/>
        </w:rPr>
        <w:t>é alcun rinvio all’art. 75 del C</w:t>
      </w:r>
      <w:r w:rsidRPr="002A01AB">
        <w:rPr>
          <w:rStyle w:val="Enfasigrassetto"/>
          <w:rFonts w:ascii="Times New Roman" w:hAnsi="Times New Roman" w:cs="Times New Roman"/>
          <w:b w:val="0"/>
        </w:rPr>
        <w:t>odice dei contratti.</w:t>
      </w:r>
      <w:r w:rsidR="00A12D18">
        <w:rPr>
          <w:rStyle w:val="Enfasigrassetto"/>
          <w:rFonts w:ascii="Times New Roman" w:hAnsi="Times New Roman" w:cs="Times New Roman"/>
          <w:b w:val="0"/>
        </w:rPr>
        <w:t xml:space="preserve"> </w:t>
      </w:r>
      <w:r w:rsidRPr="002A01AB">
        <w:rPr>
          <w:rStyle w:val="Enfasigrassetto"/>
          <w:rFonts w:ascii="Times New Roman" w:hAnsi="Times New Roman" w:cs="Times New Roman"/>
          <w:b w:val="0"/>
        </w:rPr>
        <w:t>L’insussistenza dell’obbligo di prestare la cd. cauzione provvisoria agli affidamenti de quo, risulterebbe anche dalla lettura delle disposizioni contenute nel regolamento di esecuzione del codice (D.P.R. 5 ottobre 2010, n. 207) a cui rinvia il comma 14 de</w:t>
      </w:r>
      <w:r w:rsidR="00A12D18">
        <w:rPr>
          <w:rStyle w:val="Enfasigrassetto"/>
          <w:rFonts w:ascii="Times New Roman" w:hAnsi="Times New Roman" w:cs="Times New Roman"/>
          <w:b w:val="0"/>
        </w:rPr>
        <w:t xml:space="preserve">ll’art. 125 del </w:t>
      </w:r>
      <w:proofErr w:type="spellStart"/>
      <w:r w:rsidR="00A12D18">
        <w:rPr>
          <w:rStyle w:val="Enfasigrassetto"/>
          <w:rFonts w:ascii="Times New Roman" w:hAnsi="Times New Roman" w:cs="Times New Roman"/>
          <w:b w:val="0"/>
        </w:rPr>
        <w:t>D.Lgs.</w:t>
      </w:r>
      <w:proofErr w:type="spellEnd"/>
      <w:r w:rsidR="00A12D18">
        <w:rPr>
          <w:rStyle w:val="Enfasigrassetto"/>
          <w:rFonts w:ascii="Times New Roman" w:hAnsi="Times New Roman" w:cs="Times New Roman"/>
          <w:b w:val="0"/>
        </w:rPr>
        <w:t xml:space="preserve"> 163/2006: i</w:t>
      </w:r>
      <w:r w:rsidRPr="002A01AB">
        <w:rPr>
          <w:rStyle w:val="Enfasigrassetto"/>
          <w:rFonts w:ascii="Times New Roman" w:hAnsi="Times New Roman" w:cs="Times New Roman"/>
          <w:b w:val="0"/>
        </w:rPr>
        <w:t xml:space="preserve">nfatti, l’art. 334, comma 1, </w:t>
      </w:r>
      <w:proofErr w:type="spellStart"/>
      <w:r w:rsidRPr="002A01AB">
        <w:rPr>
          <w:rStyle w:val="Enfasigrassetto"/>
          <w:rFonts w:ascii="Times New Roman" w:hAnsi="Times New Roman" w:cs="Times New Roman"/>
          <w:b w:val="0"/>
        </w:rPr>
        <w:t>lett</w:t>
      </w:r>
      <w:proofErr w:type="spellEnd"/>
      <w:r w:rsidRPr="002A01AB">
        <w:rPr>
          <w:rStyle w:val="Enfasigrassetto"/>
          <w:rFonts w:ascii="Times New Roman" w:hAnsi="Times New Roman" w:cs="Times New Roman"/>
          <w:b w:val="0"/>
        </w:rPr>
        <w:t>. b), del D.P.R. 207/2010 (il quale indica il contenuto minimo che dovrebbe avere la lettera di invito nella procedura di cottimo fiduciario per l’affidamento di servizi e forniture) prevede la presentazione della sola cauzione definitiva da parte dell’affidatario del contratto, non menzionando invece nessun dove</w:t>
      </w:r>
      <w:r w:rsidR="00A12D18">
        <w:rPr>
          <w:rStyle w:val="Enfasigrassetto"/>
          <w:rFonts w:ascii="Times New Roman" w:hAnsi="Times New Roman" w:cs="Times New Roman"/>
          <w:b w:val="0"/>
        </w:rPr>
        <w:t>re di produrre</w:t>
      </w:r>
      <w:r w:rsidRPr="002A01AB">
        <w:rPr>
          <w:rStyle w:val="Enfasigrassetto"/>
          <w:rFonts w:ascii="Times New Roman" w:hAnsi="Times New Roman" w:cs="Times New Roman"/>
          <w:b w:val="0"/>
        </w:rPr>
        <w:t xml:space="preserve"> la garanzia provvisoria </w:t>
      </w:r>
      <w:r w:rsidRPr="002A01AB">
        <w:rPr>
          <w:rStyle w:val="Enfasigrassetto"/>
          <w:rFonts w:ascii="Times New Roman" w:hAnsi="Times New Roman" w:cs="Times New Roman"/>
          <w:b w:val="0"/>
        </w:rPr>
        <w:lastRenderedPageBreak/>
        <w:t>(TAR Sardegna, sezione I, sentenza n. 275 del 9 marzo 2012; Tar Veneto, Sez. I, sentenza n. 379 del 14 marzo 2013).</w:t>
      </w:r>
      <w:r w:rsidR="007F4C1C">
        <w:rPr>
          <w:rStyle w:val="Enfasigrassetto"/>
          <w:rFonts w:ascii="Times New Roman" w:hAnsi="Times New Roman" w:cs="Times New Roman"/>
          <w:b w:val="0"/>
        </w:rPr>
        <w:t xml:space="preserve"> </w:t>
      </w:r>
      <w:r w:rsidRPr="002A01AB">
        <w:rPr>
          <w:rStyle w:val="Enfasigrassetto"/>
          <w:rFonts w:ascii="Times New Roman" w:hAnsi="Times New Roman" w:cs="Times New Roman"/>
          <w:b w:val="0"/>
        </w:rPr>
        <w:t xml:space="preserve">Tale orientamento è stato supportato anche dall’Autorità per </w:t>
      </w:r>
      <w:r w:rsidR="00A12D18">
        <w:rPr>
          <w:rStyle w:val="Enfasigrassetto"/>
          <w:rFonts w:ascii="Times New Roman" w:hAnsi="Times New Roman" w:cs="Times New Roman"/>
          <w:b w:val="0"/>
        </w:rPr>
        <w:t xml:space="preserve">la </w:t>
      </w:r>
      <w:r w:rsidRPr="002A01AB">
        <w:rPr>
          <w:rStyle w:val="Enfasigrassetto"/>
          <w:rFonts w:ascii="Times New Roman" w:hAnsi="Times New Roman" w:cs="Times New Roman"/>
          <w:b w:val="0"/>
        </w:rPr>
        <w:t xml:space="preserve">Vigilanza sui contratti pubblici di lavori, servizi e forniture la quale, analogamente a quanto osservato dai giudici amministrativi, ha ritenuto che </w:t>
      </w:r>
      <w:r w:rsidRPr="002A01AB">
        <w:rPr>
          <w:rStyle w:val="Enfasigrassetto"/>
          <w:rFonts w:ascii="Times New Roman" w:hAnsi="Times New Roman" w:cs="Times New Roman"/>
          <w:b w:val="0"/>
          <w:i/>
        </w:rPr>
        <w:t>“</w:t>
      </w:r>
      <w:r w:rsidRPr="007F4C1C">
        <w:rPr>
          <w:rStyle w:val="Enfasigrassetto"/>
          <w:rFonts w:ascii="Times New Roman" w:hAnsi="Times New Roman" w:cs="Times New Roman"/>
          <w:b w:val="0"/>
          <w:i/>
        </w:rPr>
        <w:t>negli affidamenti in economia di ridotto importo, se non diversamente previsto dalla </w:t>
      </w:r>
      <w:proofErr w:type="spellStart"/>
      <w:r w:rsidRPr="007F4C1C">
        <w:rPr>
          <w:rStyle w:val="Enfasigrassetto"/>
          <w:rFonts w:ascii="Times New Roman" w:hAnsi="Times New Roman" w:cs="Times New Roman"/>
          <w:b w:val="0"/>
          <w:i/>
        </w:rPr>
        <w:t>lex</w:t>
      </w:r>
      <w:proofErr w:type="spellEnd"/>
      <w:r w:rsidRPr="007F4C1C">
        <w:rPr>
          <w:rStyle w:val="Enfasigrassetto"/>
          <w:rFonts w:ascii="Times New Roman" w:hAnsi="Times New Roman" w:cs="Times New Roman"/>
          <w:b w:val="0"/>
          <w:i/>
        </w:rPr>
        <w:t xml:space="preserve"> </w:t>
      </w:r>
      <w:proofErr w:type="spellStart"/>
      <w:r w:rsidRPr="007F4C1C">
        <w:rPr>
          <w:rStyle w:val="Enfasigrassetto"/>
          <w:rFonts w:ascii="Times New Roman" w:hAnsi="Times New Roman" w:cs="Times New Roman"/>
          <w:b w:val="0"/>
          <w:i/>
        </w:rPr>
        <w:t>specialis</w:t>
      </w:r>
      <w:proofErr w:type="spellEnd"/>
      <w:r w:rsidRPr="007F4C1C">
        <w:rPr>
          <w:rStyle w:val="Enfasigrassetto"/>
          <w:rFonts w:ascii="Times New Roman" w:hAnsi="Times New Roman" w:cs="Times New Roman"/>
          <w:b w:val="0"/>
          <w:i/>
        </w:rPr>
        <w:t xml:space="preserve"> di gara, non </w:t>
      </w:r>
      <w:r w:rsidRPr="007F4C1C">
        <w:rPr>
          <w:rStyle w:val="Enfasigrassetto"/>
          <w:rFonts w:ascii="Times New Roman" w:hAnsi="Times New Roman" w:cs="Times New Roman"/>
          <w:b w:val="0"/>
          <w:bCs w:val="0"/>
          <w:i/>
        </w:rPr>
        <w:t xml:space="preserve">sussiste obbligo di allegare all’offerta la cauzione provvisoria di cui all’art. 75 D. </w:t>
      </w:r>
      <w:proofErr w:type="spellStart"/>
      <w:r w:rsidRPr="007F4C1C">
        <w:rPr>
          <w:rStyle w:val="Enfasigrassetto"/>
          <w:rFonts w:ascii="Times New Roman" w:hAnsi="Times New Roman" w:cs="Times New Roman"/>
          <w:b w:val="0"/>
          <w:bCs w:val="0"/>
          <w:i/>
        </w:rPr>
        <w:t>Lgs</w:t>
      </w:r>
      <w:proofErr w:type="spellEnd"/>
      <w:r w:rsidRPr="007F4C1C">
        <w:rPr>
          <w:rStyle w:val="Enfasigrassetto"/>
          <w:rFonts w:ascii="Times New Roman" w:hAnsi="Times New Roman" w:cs="Times New Roman"/>
          <w:b w:val="0"/>
          <w:bCs w:val="0"/>
          <w:i/>
        </w:rPr>
        <w:t>. 12 aprile 2006 n. 163”</w:t>
      </w:r>
      <w:r w:rsidRPr="002A01AB">
        <w:rPr>
          <w:rStyle w:val="Enfasigrassetto"/>
          <w:rFonts w:ascii="Times New Roman" w:hAnsi="Times New Roman" w:cs="Times New Roman"/>
          <w:b w:val="0"/>
          <w:bCs w:val="0"/>
        </w:rPr>
        <w:t xml:space="preserve"> (</w:t>
      </w:r>
      <w:hyperlink r:id="rId11" w:tooltip="AVCP – parere 5 dicembre 2012 (AG 21/12)" w:history="1">
        <w:r w:rsidRPr="002A01AB">
          <w:rPr>
            <w:rStyle w:val="Enfasigrassetto"/>
            <w:rFonts w:ascii="Times New Roman" w:hAnsi="Times New Roman" w:cs="Times New Roman"/>
            <w:b w:val="0"/>
            <w:bCs w:val="0"/>
          </w:rPr>
          <w:t>AVCP  Parere 5 dicembre 2012 (AG 21/12)</w:t>
        </w:r>
      </w:hyperlink>
      <w:r w:rsidRPr="002A01AB">
        <w:rPr>
          <w:rStyle w:val="Enfasigrassetto"/>
          <w:rFonts w:ascii="Times New Roman" w:hAnsi="Times New Roman" w:cs="Times New Roman"/>
          <w:b w:val="0"/>
          <w:bCs w:val="0"/>
        </w:rPr>
        <w:t xml:space="preserve">; </w:t>
      </w:r>
      <w:hyperlink r:id="rId12" w:tooltip="AVCP – parere 19 luglio 2012 n. 124" w:history="1">
        <w:r w:rsidRPr="002A01AB">
          <w:rPr>
            <w:rStyle w:val="Enfasigrassetto"/>
            <w:rFonts w:ascii="Times New Roman" w:hAnsi="Times New Roman" w:cs="Times New Roman"/>
            <w:b w:val="0"/>
            <w:bCs w:val="0"/>
          </w:rPr>
          <w:t>AVCP  Parere 19 luglio 2012 n. 124</w:t>
        </w:r>
      </w:hyperlink>
      <w:r w:rsidRPr="002A01AB">
        <w:rPr>
          <w:rStyle w:val="Enfasigrassetto"/>
          <w:rFonts w:ascii="Times New Roman" w:hAnsi="Times New Roman" w:cs="Times New Roman"/>
          <w:b w:val="0"/>
          <w:bCs w:val="0"/>
        </w:rPr>
        <w:t>; AVCP  Parere 8 marzo 2012, – Rif. AG 41/2011)</w:t>
      </w:r>
    </w:p>
    <w:p w:rsidR="00537465" w:rsidRDefault="004852CD" w:rsidP="00736141">
      <w:pPr>
        <w:pStyle w:val="Nessunaspaziatura"/>
        <w:spacing w:line="360" w:lineRule="auto"/>
        <w:jc w:val="both"/>
        <w:rPr>
          <w:rStyle w:val="Enfasigrassetto"/>
          <w:rFonts w:ascii="Times New Roman" w:hAnsi="Times New Roman" w:cs="Times New Roman"/>
        </w:rPr>
      </w:pPr>
      <w:r w:rsidRPr="004852CD">
        <w:rPr>
          <w:rStyle w:val="Enfasigrassetto"/>
          <w:rFonts w:ascii="Times New Roman" w:hAnsi="Times New Roman" w:cs="Times New Roman"/>
        </w:rPr>
        <w:t>IV Soluzioni e prospettive</w:t>
      </w:r>
    </w:p>
    <w:p w:rsidR="004852CD" w:rsidRPr="0041313F" w:rsidRDefault="004852CD" w:rsidP="004852CD">
      <w:pPr>
        <w:pStyle w:val="Nessunaspaziatura"/>
        <w:spacing w:line="360" w:lineRule="auto"/>
        <w:jc w:val="both"/>
        <w:rPr>
          <w:rStyle w:val="Enfasigrassetto"/>
          <w:rFonts w:ascii="Times New Roman" w:hAnsi="Times New Roman" w:cs="Times New Roman"/>
          <w:b w:val="0"/>
        </w:rPr>
      </w:pPr>
      <w:r>
        <w:rPr>
          <w:rStyle w:val="Enfasigrassetto"/>
          <w:rFonts w:ascii="Times New Roman" w:hAnsi="Times New Roman" w:cs="Times New Roman"/>
          <w:b w:val="0"/>
        </w:rPr>
        <w:t>Con riferimento all</w:t>
      </w:r>
      <w:r w:rsidR="00326FFC">
        <w:rPr>
          <w:rStyle w:val="Enfasigrassetto"/>
          <w:rFonts w:ascii="Times New Roman" w:hAnsi="Times New Roman" w:cs="Times New Roman"/>
          <w:b w:val="0"/>
        </w:rPr>
        <w:t xml:space="preserve">a condotta che la stazione appaltante dovrebbe tenere in caso di </w:t>
      </w:r>
      <w:r>
        <w:rPr>
          <w:rStyle w:val="Enfasigrassetto"/>
          <w:rFonts w:ascii="Times New Roman" w:hAnsi="Times New Roman" w:cs="Times New Roman"/>
          <w:b w:val="0"/>
        </w:rPr>
        <w:t xml:space="preserve">omessa </w:t>
      </w:r>
      <w:r w:rsidR="00326FFC">
        <w:rPr>
          <w:rStyle w:val="Enfasigrassetto"/>
          <w:rFonts w:ascii="Times New Roman" w:hAnsi="Times New Roman" w:cs="Times New Roman"/>
          <w:b w:val="0"/>
        </w:rPr>
        <w:t xml:space="preserve">presentazione della garanzia </w:t>
      </w:r>
      <w:r>
        <w:rPr>
          <w:rStyle w:val="Enfasigrassetto"/>
          <w:rFonts w:ascii="Times New Roman" w:hAnsi="Times New Roman" w:cs="Times New Roman"/>
          <w:b w:val="0"/>
        </w:rPr>
        <w:t xml:space="preserve">o </w:t>
      </w:r>
      <w:r w:rsidR="00326FFC">
        <w:rPr>
          <w:rStyle w:val="Enfasigrassetto"/>
          <w:rFonts w:ascii="Times New Roman" w:hAnsi="Times New Roman" w:cs="Times New Roman"/>
          <w:b w:val="0"/>
        </w:rPr>
        <w:t xml:space="preserve">di cauzione di importo </w:t>
      </w:r>
      <w:r>
        <w:rPr>
          <w:rStyle w:val="Enfasigrassetto"/>
          <w:rFonts w:ascii="Times New Roman" w:hAnsi="Times New Roman" w:cs="Times New Roman"/>
          <w:b w:val="0"/>
        </w:rPr>
        <w:t>deficitari</w:t>
      </w:r>
      <w:r w:rsidR="00326FFC">
        <w:rPr>
          <w:rStyle w:val="Enfasigrassetto"/>
          <w:rFonts w:ascii="Times New Roman" w:hAnsi="Times New Roman" w:cs="Times New Roman"/>
          <w:b w:val="0"/>
        </w:rPr>
        <w:t>o</w:t>
      </w:r>
      <w:r>
        <w:rPr>
          <w:rStyle w:val="Enfasigrassetto"/>
          <w:rFonts w:ascii="Times New Roman" w:hAnsi="Times New Roman" w:cs="Times New Roman"/>
          <w:b w:val="0"/>
        </w:rPr>
        <w:t>, si ritiene che l</w:t>
      </w:r>
      <w:r w:rsidR="0045347D">
        <w:rPr>
          <w:rStyle w:val="Enfasigrassetto"/>
          <w:rFonts w:ascii="Times New Roman" w:hAnsi="Times New Roman" w:cs="Times New Roman"/>
          <w:b w:val="0"/>
        </w:rPr>
        <w:t xml:space="preserve">a tesi seguita dal Tar Sardegna e dall’Autorità per la Vigilanza sui contratti pubblici di lavori, servizi e forniture, sopra illustrata, sia da preferire rispetto a quella sostenuta dalla giurisprudenza prevalente. </w:t>
      </w:r>
      <w:r w:rsidRPr="0041313F">
        <w:rPr>
          <w:rStyle w:val="Enfasigrassetto"/>
          <w:rFonts w:ascii="Times New Roman" w:hAnsi="Times New Roman" w:cs="Times New Roman"/>
          <w:b w:val="0"/>
        </w:rPr>
        <w:t xml:space="preserve"> </w:t>
      </w:r>
    </w:p>
    <w:p w:rsidR="004852CD" w:rsidRDefault="004852CD" w:rsidP="004852CD">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 xml:space="preserve">A mente dell’art. 46 comma 1-bis </w:t>
      </w:r>
      <w:proofErr w:type="spellStart"/>
      <w:r w:rsidRPr="0041313F">
        <w:rPr>
          <w:rStyle w:val="Enfasigrassetto"/>
          <w:rFonts w:ascii="Times New Roman" w:hAnsi="Times New Roman" w:cs="Times New Roman"/>
          <w:b w:val="0"/>
        </w:rPr>
        <w:t>D.Lgs.</w:t>
      </w:r>
      <w:proofErr w:type="spellEnd"/>
      <w:r w:rsidRPr="0041313F">
        <w:rPr>
          <w:rStyle w:val="Enfasigrassetto"/>
          <w:rFonts w:ascii="Times New Roman" w:hAnsi="Times New Roman" w:cs="Times New Roman"/>
          <w:b w:val="0"/>
        </w:rPr>
        <w:t xml:space="preserve"> 163/2006, tutti i comportamenti prescritti o vietati dal Codice, dal Regolamento ovvero da altre norme rilevanti, devono essere considerati imposti a pena di esclusione sia qualora venga comminata espressamente la sanzione di esclusione sia qualora, pur mancando tale previsione esplicita, la norma di riferimento sancisca un obbligo ovvero un divieto o, più in generale, prescriva un adempimento necessario ad assicurare il corretto svolgimento del confronto concorrenziale (in tal senso </w:t>
      </w:r>
      <w:proofErr w:type="spellStart"/>
      <w:r w:rsidRPr="0041313F">
        <w:rPr>
          <w:rStyle w:val="Enfasigrassetto"/>
          <w:rFonts w:ascii="Times New Roman" w:hAnsi="Times New Roman" w:cs="Times New Roman"/>
          <w:b w:val="0"/>
        </w:rPr>
        <w:t>Cons</w:t>
      </w:r>
      <w:proofErr w:type="spellEnd"/>
      <w:r w:rsidRPr="0041313F">
        <w:rPr>
          <w:rStyle w:val="Enfasigrassetto"/>
          <w:rFonts w:ascii="Times New Roman" w:hAnsi="Times New Roman" w:cs="Times New Roman"/>
          <w:b w:val="0"/>
        </w:rPr>
        <w:t xml:space="preserve">. St., ad. </w:t>
      </w:r>
      <w:proofErr w:type="spellStart"/>
      <w:r w:rsidRPr="0041313F">
        <w:rPr>
          <w:rStyle w:val="Enfasigrassetto"/>
          <w:rFonts w:ascii="Times New Roman" w:hAnsi="Times New Roman" w:cs="Times New Roman"/>
          <w:b w:val="0"/>
        </w:rPr>
        <w:t>plen</w:t>
      </w:r>
      <w:proofErr w:type="spellEnd"/>
      <w:r w:rsidRPr="0041313F">
        <w:rPr>
          <w:rStyle w:val="Enfasigrassetto"/>
          <w:rFonts w:ascii="Times New Roman" w:hAnsi="Times New Roman" w:cs="Times New Roman"/>
          <w:b w:val="0"/>
        </w:rPr>
        <w:t>., n. 21 del 7 giugno 2012).</w:t>
      </w:r>
      <w:r>
        <w:rPr>
          <w:rStyle w:val="Enfasigrassetto"/>
          <w:rFonts w:ascii="Times New Roman" w:hAnsi="Times New Roman" w:cs="Times New Roman"/>
          <w:b w:val="0"/>
        </w:rPr>
        <w:t xml:space="preserve"> </w:t>
      </w:r>
    </w:p>
    <w:p w:rsidR="004852CD" w:rsidRPr="0041313F" w:rsidRDefault="004852CD" w:rsidP="004852CD">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 xml:space="preserve">Poiché l’art. 75 </w:t>
      </w:r>
      <w:proofErr w:type="spellStart"/>
      <w:r w:rsidRPr="0041313F">
        <w:rPr>
          <w:rStyle w:val="Enfasigrassetto"/>
          <w:rFonts w:ascii="Times New Roman" w:hAnsi="Times New Roman" w:cs="Times New Roman"/>
          <w:b w:val="0"/>
        </w:rPr>
        <w:t>D.Lgs.</w:t>
      </w:r>
      <w:proofErr w:type="spellEnd"/>
      <w:r w:rsidRPr="0041313F">
        <w:rPr>
          <w:rStyle w:val="Enfasigrassetto"/>
          <w:rFonts w:ascii="Times New Roman" w:hAnsi="Times New Roman" w:cs="Times New Roman"/>
          <w:b w:val="0"/>
        </w:rPr>
        <w:t xml:space="preserve"> 163/2006 non prevede espressamente l’esclusione in caso di omessa presentazione della cauzione è quindi necessario comprendere se tale sanzione possa ricavarsi </w:t>
      </w:r>
      <w:r>
        <w:rPr>
          <w:rStyle w:val="Enfasigrassetto"/>
          <w:rFonts w:ascii="Times New Roman" w:hAnsi="Times New Roman" w:cs="Times New Roman"/>
          <w:b w:val="0"/>
        </w:rPr>
        <w:t>implicitamente dalla disposizione normativa</w:t>
      </w:r>
      <w:r w:rsidRPr="0041313F">
        <w:rPr>
          <w:rStyle w:val="Enfasigrassetto"/>
          <w:rFonts w:ascii="Times New Roman" w:hAnsi="Times New Roman" w:cs="Times New Roman"/>
          <w:b w:val="0"/>
        </w:rPr>
        <w:t xml:space="preserve">. </w:t>
      </w:r>
    </w:p>
    <w:p w:rsidR="004852CD" w:rsidRPr="0041313F" w:rsidRDefault="004852CD" w:rsidP="004852CD">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Come giustamente ha ricordato il Tar Sardegna,</w:t>
      </w:r>
      <w:r>
        <w:rPr>
          <w:rStyle w:val="Enfasigrassetto"/>
          <w:rFonts w:ascii="Times New Roman" w:hAnsi="Times New Roman" w:cs="Times New Roman"/>
          <w:b w:val="0"/>
        </w:rPr>
        <w:t xml:space="preserve"> prima della novella del 2011 (</w:t>
      </w:r>
      <w:r w:rsidRPr="0041313F">
        <w:rPr>
          <w:rStyle w:val="Enfasigrassetto"/>
          <w:rFonts w:ascii="Times New Roman" w:hAnsi="Times New Roman" w:cs="Times New Roman"/>
          <w:b w:val="0"/>
        </w:rPr>
        <w:t>con la quale è stato introdotto il comma 1-bis nell'art. 46 del codice dei contratti pubblici</w:t>
      </w:r>
      <w:r>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 la giurisprudenza è sempre stata concorde nel ritenere che l’art. 75 </w:t>
      </w:r>
      <w:proofErr w:type="spellStart"/>
      <w:r w:rsidRPr="0041313F">
        <w:rPr>
          <w:rStyle w:val="Enfasigrassetto"/>
          <w:rFonts w:ascii="Times New Roman" w:hAnsi="Times New Roman" w:cs="Times New Roman"/>
          <w:b w:val="0"/>
        </w:rPr>
        <w:t>D.Lgs.</w:t>
      </w:r>
      <w:proofErr w:type="spellEnd"/>
      <w:r w:rsidRPr="0041313F">
        <w:rPr>
          <w:rStyle w:val="Enfasigrassetto"/>
          <w:rFonts w:ascii="Times New Roman" w:hAnsi="Times New Roman" w:cs="Times New Roman"/>
          <w:b w:val="0"/>
        </w:rPr>
        <w:t xml:space="preserve"> 163/2006 avesse natura di norma imperativa e, quindi, integrativa della </w:t>
      </w:r>
      <w:proofErr w:type="spellStart"/>
      <w:r w:rsidRPr="0041313F">
        <w:rPr>
          <w:rStyle w:val="Enfasigrassetto"/>
          <w:rFonts w:ascii="Times New Roman" w:hAnsi="Times New Roman" w:cs="Times New Roman"/>
          <w:b w:val="0"/>
        </w:rPr>
        <w:t>lex</w:t>
      </w:r>
      <w:proofErr w:type="spellEnd"/>
      <w:r w:rsidRPr="0041313F">
        <w:rPr>
          <w:rStyle w:val="Enfasigrassetto"/>
          <w:rFonts w:ascii="Times New Roman" w:hAnsi="Times New Roman" w:cs="Times New Roman"/>
          <w:b w:val="0"/>
        </w:rPr>
        <w:t xml:space="preserve"> </w:t>
      </w:r>
      <w:proofErr w:type="spellStart"/>
      <w:r w:rsidRPr="0041313F">
        <w:rPr>
          <w:rStyle w:val="Enfasigrassetto"/>
          <w:rFonts w:ascii="Times New Roman" w:hAnsi="Times New Roman" w:cs="Times New Roman"/>
          <w:b w:val="0"/>
        </w:rPr>
        <w:t>specialis</w:t>
      </w:r>
      <w:proofErr w:type="spellEnd"/>
      <w:r w:rsidRPr="0041313F">
        <w:rPr>
          <w:rStyle w:val="Enfasigrassetto"/>
          <w:rFonts w:ascii="Times New Roman" w:hAnsi="Times New Roman" w:cs="Times New Roman"/>
          <w:b w:val="0"/>
        </w:rPr>
        <w:t xml:space="preserve"> anche in assenza di un esplicito richiamo (Consiglio di Stato, </w:t>
      </w:r>
      <w:r>
        <w:rPr>
          <w:rStyle w:val="Enfasigrassetto"/>
          <w:rFonts w:ascii="Times New Roman" w:hAnsi="Times New Roman" w:cs="Times New Roman"/>
          <w:b w:val="0"/>
        </w:rPr>
        <w:t>Sez. V, 18 aprile 2012 n. 2232); v</w:t>
      </w:r>
      <w:r w:rsidRPr="0041313F">
        <w:rPr>
          <w:rStyle w:val="Enfasigrassetto"/>
          <w:rFonts w:ascii="Times New Roman" w:hAnsi="Times New Roman" w:cs="Times New Roman"/>
          <w:b w:val="0"/>
        </w:rPr>
        <w:t>eniva inoltre affermato che la cauzione provvisoria costituisse parte integrante dell'offerta e non e</w:t>
      </w:r>
      <w:r>
        <w:rPr>
          <w:rStyle w:val="Enfasigrassetto"/>
          <w:rFonts w:ascii="Times New Roman" w:hAnsi="Times New Roman" w:cs="Times New Roman"/>
          <w:b w:val="0"/>
        </w:rPr>
        <w:t>lemento di corredo della stessa</w:t>
      </w:r>
      <w:r w:rsidRPr="0041313F">
        <w:rPr>
          <w:rStyle w:val="Enfasigrassetto"/>
          <w:rFonts w:ascii="Times New Roman" w:hAnsi="Times New Roman" w:cs="Times New Roman"/>
          <w:b w:val="0"/>
        </w:rPr>
        <w:t>.</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S</w:t>
      </w:r>
      <w:r>
        <w:rPr>
          <w:rStyle w:val="Enfasigrassetto"/>
          <w:rFonts w:ascii="Times New Roman" w:hAnsi="Times New Roman" w:cs="Times New Roman"/>
          <w:b w:val="0"/>
        </w:rPr>
        <w:t>ulla base di questi presupposti</w:t>
      </w:r>
      <w:r w:rsidRPr="0041313F">
        <w:rPr>
          <w:rStyle w:val="Enfasigrassetto"/>
          <w:rFonts w:ascii="Times New Roman" w:hAnsi="Times New Roman" w:cs="Times New Roman"/>
          <w:b w:val="0"/>
        </w:rPr>
        <w:t xml:space="preserve"> veniva escluso, pertanto, che l'amministrazione potesse consentire una regolarizzazione postuma d</w:t>
      </w:r>
      <w:r>
        <w:rPr>
          <w:rStyle w:val="Enfasigrassetto"/>
          <w:rFonts w:ascii="Times New Roman" w:hAnsi="Times New Roman" w:cs="Times New Roman"/>
          <w:b w:val="0"/>
        </w:rPr>
        <w:t>ella cauzione poiché,</w:t>
      </w:r>
      <w:r w:rsidRPr="0041313F">
        <w:rPr>
          <w:rStyle w:val="Enfasigrassetto"/>
          <w:rFonts w:ascii="Times New Roman" w:hAnsi="Times New Roman" w:cs="Times New Roman"/>
          <w:b w:val="0"/>
        </w:rPr>
        <w:t xml:space="preserve"> diversamente</w:t>
      </w:r>
      <w:r>
        <w:rPr>
          <w:rStyle w:val="Enfasigrassetto"/>
          <w:rFonts w:ascii="Times New Roman" w:hAnsi="Times New Roman" w:cs="Times New Roman"/>
          <w:b w:val="0"/>
        </w:rPr>
        <w:t xml:space="preserve"> opinando</w:t>
      </w:r>
      <w:r w:rsidRPr="0041313F">
        <w:rPr>
          <w:rStyle w:val="Enfasigrassetto"/>
          <w:rFonts w:ascii="Times New Roman" w:hAnsi="Times New Roman" w:cs="Times New Roman"/>
          <w:b w:val="0"/>
        </w:rPr>
        <w:t xml:space="preserve">, tale attività avrebbe comportato la violazione del principio </w:t>
      </w:r>
      <w:r>
        <w:rPr>
          <w:rStyle w:val="Enfasigrassetto"/>
          <w:rFonts w:ascii="Times New Roman" w:hAnsi="Times New Roman" w:cs="Times New Roman"/>
          <w:b w:val="0"/>
        </w:rPr>
        <w:t>comunitario della</w:t>
      </w:r>
      <w:r w:rsidRPr="0041313F">
        <w:rPr>
          <w:rStyle w:val="Enfasigrassetto"/>
          <w:rFonts w:ascii="Times New Roman" w:hAnsi="Times New Roman" w:cs="Times New Roman"/>
          <w:b w:val="0"/>
        </w:rPr>
        <w:t xml:space="preserve"> par condicio dei concorrenti. (Consiglio di Stato  sez. V  12/09/2012 n. 4841; </w:t>
      </w:r>
      <w:proofErr w:type="spellStart"/>
      <w:r w:rsidRPr="0041313F">
        <w:rPr>
          <w:rStyle w:val="Enfasigrassetto"/>
          <w:rFonts w:ascii="Times New Roman" w:hAnsi="Times New Roman" w:cs="Times New Roman"/>
          <w:b w:val="0"/>
        </w:rPr>
        <w:t>C.d.S</w:t>
      </w:r>
      <w:proofErr w:type="spellEnd"/>
      <w:r w:rsidRPr="0041313F">
        <w:rPr>
          <w:rStyle w:val="Enfasigrassetto"/>
          <w:rFonts w:ascii="Times New Roman" w:hAnsi="Times New Roman" w:cs="Times New Roman"/>
          <w:b w:val="0"/>
        </w:rPr>
        <w:t>., sez. V, 2 febbraio 2012, n. 549; 3 settembre 2009, n. 5171; sez. IV, 10 maggio 2007, n. 2254).</w:t>
      </w:r>
    </w:p>
    <w:p w:rsidR="004852CD" w:rsidRPr="0041313F" w:rsidRDefault="004852CD" w:rsidP="004852CD">
      <w:pPr>
        <w:pStyle w:val="Nessunaspaziatura"/>
        <w:spacing w:line="360" w:lineRule="auto"/>
        <w:jc w:val="both"/>
        <w:rPr>
          <w:rStyle w:val="Enfasigrassetto"/>
          <w:rFonts w:ascii="Times New Roman" w:hAnsi="Times New Roman" w:cs="Times New Roman"/>
          <w:b w:val="0"/>
        </w:rPr>
      </w:pPr>
      <w:r>
        <w:rPr>
          <w:rStyle w:val="Enfasigrassetto"/>
          <w:rFonts w:ascii="Times New Roman" w:hAnsi="Times New Roman" w:cs="Times New Roman"/>
          <w:b w:val="0"/>
        </w:rPr>
        <w:t>In altre parole</w:t>
      </w:r>
      <w:r w:rsidRPr="0041313F">
        <w:rPr>
          <w:rStyle w:val="Enfasigrassetto"/>
          <w:rFonts w:ascii="Times New Roman" w:hAnsi="Times New Roman" w:cs="Times New Roman"/>
          <w:b w:val="0"/>
        </w:rPr>
        <w:t xml:space="preserve">, la cauzione provvisoria </w:t>
      </w:r>
      <w:r>
        <w:rPr>
          <w:rStyle w:val="Enfasigrassetto"/>
          <w:rFonts w:ascii="Times New Roman" w:hAnsi="Times New Roman" w:cs="Times New Roman"/>
          <w:b w:val="0"/>
        </w:rPr>
        <w:t xml:space="preserve">è sempre stata </w:t>
      </w:r>
      <w:r w:rsidRPr="0041313F">
        <w:rPr>
          <w:rStyle w:val="Enfasigrassetto"/>
          <w:rFonts w:ascii="Times New Roman" w:hAnsi="Times New Roman" w:cs="Times New Roman"/>
          <w:b w:val="0"/>
        </w:rPr>
        <w:t>considerata come un elemento esse</w:t>
      </w:r>
      <w:r>
        <w:rPr>
          <w:rStyle w:val="Enfasigrassetto"/>
          <w:rFonts w:ascii="Times New Roman" w:hAnsi="Times New Roman" w:cs="Times New Roman"/>
          <w:b w:val="0"/>
        </w:rPr>
        <w:t>nziale da allegare all’offerta, la cui mancanza o difformità dalle previsioni di legge avrebbe determinato l’esclusione dalla gara del concorrente, non essendo consentito la sua i</w:t>
      </w:r>
      <w:r w:rsidRPr="0041313F">
        <w:rPr>
          <w:rStyle w:val="Enfasigrassetto"/>
          <w:rFonts w:ascii="Times New Roman" w:hAnsi="Times New Roman" w:cs="Times New Roman"/>
          <w:b w:val="0"/>
        </w:rPr>
        <w:t>nte</w:t>
      </w:r>
      <w:r>
        <w:rPr>
          <w:rStyle w:val="Enfasigrassetto"/>
          <w:rFonts w:ascii="Times New Roman" w:hAnsi="Times New Roman" w:cs="Times New Roman"/>
          <w:b w:val="0"/>
        </w:rPr>
        <w:t>grazione o regolarizzazione pena</w:t>
      </w:r>
      <w:r w:rsidRPr="0041313F">
        <w:rPr>
          <w:rStyle w:val="Enfasigrassetto"/>
          <w:rFonts w:ascii="Times New Roman" w:hAnsi="Times New Roman" w:cs="Times New Roman"/>
          <w:b w:val="0"/>
        </w:rPr>
        <w:t xml:space="preserve"> la violazione del principio della parit</w:t>
      </w:r>
      <w:r>
        <w:rPr>
          <w:rStyle w:val="Enfasigrassetto"/>
          <w:rFonts w:ascii="Times New Roman" w:hAnsi="Times New Roman" w:cs="Times New Roman"/>
          <w:b w:val="0"/>
        </w:rPr>
        <w:t>à di trattamento dei partecipanti all’affidamento pubblico</w:t>
      </w:r>
      <w:r w:rsidRPr="0041313F">
        <w:rPr>
          <w:rStyle w:val="Enfasigrassetto"/>
          <w:rFonts w:ascii="Times New Roman" w:hAnsi="Times New Roman" w:cs="Times New Roman"/>
          <w:b w:val="0"/>
        </w:rPr>
        <w:t xml:space="preserve">.  </w:t>
      </w:r>
    </w:p>
    <w:p w:rsidR="004852CD" w:rsidRPr="0041313F" w:rsidRDefault="004852CD" w:rsidP="004852CD">
      <w:pPr>
        <w:pStyle w:val="Nessunaspaziatura"/>
        <w:spacing w:line="360" w:lineRule="auto"/>
        <w:jc w:val="both"/>
        <w:rPr>
          <w:rStyle w:val="Enfasigrassetto"/>
          <w:rFonts w:ascii="Times New Roman" w:hAnsi="Times New Roman" w:cs="Times New Roman"/>
          <w:b w:val="0"/>
        </w:rPr>
      </w:pPr>
      <w:r>
        <w:rPr>
          <w:rStyle w:val="Enfasigrassetto"/>
          <w:rFonts w:ascii="Times New Roman" w:hAnsi="Times New Roman" w:cs="Times New Roman"/>
          <w:b w:val="0"/>
        </w:rPr>
        <w:t>Quindi</w:t>
      </w:r>
      <w:r w:rsidRPr="0041313F">
        <w:rPr>
          <w:rStyle w:val="Enfasigrassetto"/>
          <w:rFonts w:ascii="Times New Roman" w:hAnsi="Times New Roman" w:cs="Times New Roman"/>
          <w:b w:val="0"/>
        </w:rPr>
        <w:t xml:space="preserve">, se è vero che </w:t>
      </w:r>
      <w:r>
        <w:rPr>
          <w:rStyle w:val="Enfasigrassetto"/>
          <w:rFonts w:ascii="Times New Roman" w:hAnsi="Times New Roman" w:cs="Times New Roman"/>
          <w:b w:val="0"/>
        </w:rPr>
        <w:t>la cauzione provvisoria possiede</w:t>
      </w:r>
      <w:r w:rsidRPr="0041313F">
        <w:rPr>
          <w:rStyle w:val="Enfasigrassetto"/>
          <w:rFonts w:ascii="Times New Roman" w:hAnsi="Times New Roman" w:cs="Times New Roman"/>
          <w:b w:val="0"/>
        </w:rPr>
        <w:t xml:space="preserve"> tutte le caratteristiche sopra indicate appare chiaro</w:t>
      </w:r>
      <w:r>
        <w:rPr>
          <w:rStyle w:val="Enfasigrassetto"/>
          <w:rFonts w:ascii="Times New Roman" w:hAnsi="Times New Roman" w:cs="Times New Roman"/>
          <w:b w:val="0"/>
        </w:rPr>
        <w:t xml:space="preserve"> che l’art. 75 del Codice prescriva un obbligo</w:t>
      </w:r>
      <w:r w:rsidRPr="0041313F">
        <w:rPr>
          <w:rStyle w:val="Enfasigrassetto"/>
          <w:rFonts w:ascii="Times New Roman" w:hAnsi="Times New Roman" w:cs="Times New Roman"/>
          <w:b w:val="0"/>
        </w:rPr>
        <w:t xml:space="preserve"> </w:t>
      </w:r>
      <w:r>
        <w:rPr>
          <w:rStyle w:val="Enfasigrassetto"/>
          <w:rFonts w:ascii="Times New Roman" w:hAnsi="Times New Roman" w:cs="Times New Roman"/>
          <w:b w:val="0"/>
        </w:rPr>
        <w:t xml:space="preserve">di allegazione della medesima </w:t>
      </w:r>
      <w:r w:rsidRPr="0041313F">
        <w:rPr>
          <w:rStyle w:val="Enfasigrassetto"/>
          <w:rFonts w:ascii="Times New Roman" w:hAnsi="Times New Roman" w:cs="Times New Roman"/>
          <w:b w:val="0"/>
        </w:rPr>
        <w:t xml:space="preserve">in sede di offerta a pena di </w:t>
      </w:r>
      <w:r w:rsidRPr="0041313F">
        <w:rPr>
          <w:rStyle w:val="Enfasigrassetto"/>
          <w:rFonts w:ascii="Times New Roman" w:hAnsi="Times New Roman" w:cs="Times New Roman"/>
          <w:b w:val="0"/>
        </w:rPr>
        <w:lastRenderedPageBreak/>
        <w:t xml:space="preserve">esclusione, non potendosi </w:t>
      </w:r>
      <w:r>
        <w:rPr>
          <w:rStyle w:val="Enfasigrassetto"/>
          <w:rFonts w:ascii="Times New Roman" w:hAnsi="Times New Roman" w:cs="Times New Roman"/>
          <w:b w:val="0"/>
        </w:rPr>
        <w:t xml:space="preserve">ammettere, </w:t>
      </w:r>
      <w:r w:rsidRPr="0041313F">
        <w:rPr>
          <w:rStyle w:val="Enfasigrassetto"/>
          <w:rFonts w:ascii="Times New Roman" w:hAnsi="Times New Roman" w:cs="Times New Roman"/>
          <w:b w:val="0"/>
        </w:rPr>
        <w:t>come invece afferma l’attuale giurisprudenza prevalente</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la sua</w:t>
      </w:r>
      <w:r>
        <w:rPr>
          <w:rStyle w:val="Enfasigrassetto"/>
          <w:rFonts w:ascii="Times New Roman" w:hAnsi="Times New Roman" w:cs="Times New Roman"/>
          <w:b w:val="0"/>
        </w:rPr>
        <w:t xml:space="preserve"> regolarizzazione</w:t>
      </w:r>
      <w:r w:rsidRPr="0041313F">
        <w:rPr>
          <w:rStyle w:val="Enfasigrassetto"/>
          <w:rFonts w:ascii="Times New Roman" w:hAnsi="Times New Roman" w:cs="Times New Roman"/>
          <w:b w:val="0"/>
        </w:rPr>
        <w:t>.</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Non solo, un altr</w:t>
      </w:r>
      <w:r>
        <w:rPr>
          <w:rStyle w:val="Enfasigrassetto"/>
          <w:rFonts w:ascii="Times New Roman" w:hAnsi="Times New Roman" w:cs="Times New Roman"/>
          <w:b w:val="0"/>
        </w:rPr>
        <w:t>o motivo che rende plausibile</w:t>
      </w:r>
      <w:r w:rsidRPr="0041313F">
        <w:rPr>
          <w:rStyle w:val="Enfasigrassetto"/>
          <w:rFonts w:ascii="Times New Roman" w:hAnsi="Times New Roman" w:cs="Times New Roman"/>
          <w:b w:val="0"/>
        </w:rPr>
        <w:t xml:space="preserve"> l’orienta</w:t>
      </w:r>
      <w:r>
        <w:rPr>
          <w:rStyle w:val="Enfasigrassetto"/>
          <w:rFonts w:ascii="Times New Roman" w:hAnsi="Times New Roman" w:cs="Times New Roman"/>
          <w:b w:val="0"/>
        </w:rPr>
        <w:t>mento minoritario si desume da</w:t>
      </w:r>
      <w:r w:rsidRPr="0041313F">
        <w:rPr>
          <w:rStyle w:val="Enfasigrassetto"/>
          <w:rFonts w:ascii="Times New Roman" w:hAnsi="Times New Roman" w:cs="Times New Roman"/>
          <w:b w:val="0"/>
        </w:rPr>
        <w:t>lla pronuncia dell’Adunanza Plenaria del Consiglio di Stato</w:t>
      </w:r>
      <w:r>
        <w:rPr>
          <w:rStyle w:val="Enfasigrassetto"/>
          <w:rFonts w:ascii="Times New Roman" w:hAnsi="Times New Roman" w:cs="Times New Roman"/>
          <w:b w:val="0"/>
        </w:rPr>
        <w:t xml:space="preserve"> (Sentenza</w:t>
      </w:r>
      <w:r w:rsidRPr="0041313F">
        <w:rPr>
          <w:rStyle w:val="Enfasigrassetto"/>
          <w:rFonts w:ascii="Times New Roman" w:hAnsi="Times New Roman" w:cs="Times New Roman"/>
          <w:b w:val="0"/>
        </w:rPr>
        <w:t xml:space="preserve"> n. 21 del 7 giugno 2012</w:t>
      </w:r>
      <w:r>
        <w:rPr>
          <w:rStyle w:val="Enfasigrassetto"/>
          <w:rFonts w:ascii="Times New Roman" w:hAnsi="Times New Roman" w:cs="Times New Roman"/>
          <w:b w:val="0"/>
        </w:rPr>
        <w:t>),</w:t>
      </w:r>
      <w:r w:rsidRPr="0041313F">
        <w:rPr>
          <w:rStyle w:val="Enfasigrassetto"/>
          <w:rFonts w:ascii="Times New Roman" w:hAnsi="Times New Roman" w:cs="Times New Roman"/>
          <w:b w:val="0"/>
        </w:rPr>
        <w:t xml:space="preserve"> la quale ha statuito</w:t>
      </w:r>
      <w:r>
        <w:rPr>
          <w:rStyle w:val="Enfasigrassetto"/>
          <w:rFonts w:ascii="Times New Roman" w:hAnsi="Times New Roman" w:cs="Times New Roman"/>
          <w:b w:val="0"/>
        </w:rPr>
        <w:t xml:space="preserve"> che</w:t>
      </w:r>
      <w:r w:rsidRPr="0041313F">
        <w:rPr>
          <w:rStyle w:val="Enfasigrassetto"/>
          <w:rFonts w:ascii="Times New Roman" w:hAnsi="Times New Roman" w:cs="Times New Roman"/>
          <w:b w:val="0"/>
        </w:rPr>
        <w:t>, in linea generale, debba essere escluso il concorrente che abbia violato una norma prescrittiva di un adempimento necessario ad assicurare il corretto svolgimento</w:t>
      </w:r>
      <w:r>
        <w:rPr>
          <w:rStyle w:val="Enfasigrassetto"/>
          <w:rFonts w:ascii="Times New Roman" w:hAnsi="Times New Roman" w:cs="Times New Roman"/>
          <w:b w:val="0"/>
        </w:rPr>
        <w:t xml:space="preserve"> del confronto concorrenziale. E tale funzione</w:t>
      </w:r>
      <w:r w:rsidRPr="00C23DE6">
        <w:rPr>
          <w:rStyle w:val="Enfasigrassetto"/>
          <w:rFonts w:ascii="Times New Roman" w:hAnsi="Times New Roman" w:cs="Times New Roman"/>
          <w:b w:val="0"/>
        </w:rPr>
        <w:t xml:space="preserve"> </w:t>
      </w:r>
      <w:r>
        <w:rPr>
          <w:rStyle w:val="Enfasigrassetto"/>
          <w:rFonts w:ascii="Times New Roman" w:hAnsi="Times New Roman" w:cs="Times New Roman"/>
          <w:b w:val="0"/>
        </w:rPr>
        <w:t xml:space="preserve">viene svolta, appunto, dall’art. 75 </w:t>
      </w:r>
      <w:proofErr w:type="spellStart"/>
      <w:r>
        <w:rPr>
          <w:rStyle w:val="Enfasigrassetto"/>
          <w:rFonts w:ascii="Times New Roman" w:hAnsi="Times New Roman" w:cs="Times New Roman"/>
          <w:b w:val="0"/>
        </w:rPr>
        <w:t>D.Lgs.</w:t>
      </w:r>
      <w:proofErr w:type="spellEnd"/>
      <w:r>
        <w:rPr>
          <w:rStyle w:val="Enfasigrassetto"/>
          <w:rFonts w:ascii="Times New Roman" w:hAnsi="Times New Roman" w:cs="Times New Roman"/>
          <w:b w:val="0"/>
        </w:rPr>
        <w:t xml:space="preserve"> 163/2006:</w:t>
      </w:r>
      <w:r w:rsidRPr="0041313F">
        <w:rPr>
          <w:rStyle w:val="Enfasigrassetto"/>
          <w:rFonts w:ascii="Times New Roman" w:hAnsi="Times New Roman" w:cs="Times New Roman"/>
          <w:b w:val="0"/>
        </w:rPr>
        <w:t xml:space="preserve"> </w:t>
      </w:r>
      <w:r>
        <w:rPr>
          <w:rStyle w:val="Enfasigrassetto"/>
          <w:rFonts w:ascii="Times New Roman" w:hAnsi="Times New Roman" w:cs="Times New Roman"/>
          <w:b w:val="0"/>
        </w:rPr>
        <w:t xml:space="preserve">come sostenuto dalla  </w:t>
      </w:r>
      <w:r w:rsidRPr="0041313F">
        <w:rPr>
          <w:rStyle w:val="Enfasigrassetto"/>
          <w:rFonts w:ascii="Times New Roman" w:hAnsi="Times New Roman" w:cs="Times New Roman"/>
          <w:b w:val="0"/>
        </w:rPr>
        <w:t xml:space="preserve">giurisprudenza </w:t>
      </w:r>
      <w:r>
        <w:rPr>
          <w:rStyle w:val="Enfasigrassetto"/>
          <w:rFonts w:ascii="Times New Roman" w:hAnsi="Times New Roman" w:cs="Times New Roman"/>
          <w:b w:val="0"/>
        </w:rPr>
        <w:t>del Supremo Consesso di giustizia amministrativa, qualora la stazione appaltante</w:t>
      </w:r>
      <w:r w:rsidRPr="0041313F">
        <w:rPr>
          <w:rStyle w:val="Enfasigrassetto"/>
          <w:rFonts w:ascii="Times New Roman" w:hAnsi="Times New Roman" w:cs="Times New Roman"/>
          <w:b w:val="0"/>
        </w:rPr>
        <w:t xml:space="preserve"> consentisse</w:t>
      </w:r>
      <w:r>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l’integrazione della cauzione verrebbe le</w:t>
      </w:r>
      <w:r>
        <w:rPr>
          <w:rStyle w:val="Enfasigrassetto"/>
          <w:rFonts w:ascii="Times New Roman" w:hAnsi="Times New Roman" w:cs="Times New Roman"/>
          <w:b w:val="0"/>
        </w:rPr>
        <w:t xml:space="preserve">sa la </w:t>
      </w:r>
      <w:r w:rsidRPr="0041313F">
        <w:rPr>
          <w:rStyle w:val="Enfasigrassetto"/>
          <w:rFonts w:ascii="Times New Roman" w:hAnsi="Times New Roman" w:cs="Times New Roman"/>
          <w:b w:val="0"/>
        </w:rPr>
        <w:t xml:space="preserve">par condicio dei concorrenti. (Consiglio di Stato  sez. V  12/09/2012 n. 4841; </w:t>
      </w:r>
      <w:proofErr w:type="spellStart"/>
      <w:r w:rsidRPr="0041313F">
        <w:rPr>
          <w:rStyle w:val="Enfasigrassetto"/>
          <w:rFonts w:ascii="Times New Roman" w:hAnsi="Times New Roman" w:cs="Times New Roman"/>
          <w:b w:val="0"/>
        </w:rPr>
        <w:t>C.d.S</w:t>
      </w:r>
      <w:proofErr w:type="spellEnd"/>
      <w:r w:rsidRPr="0041313F">
        <w:rPr>
          <w:rStyle w:val="Enfasigrassetto"/>
          <w:rFonts w:ascii="Times New Roman" w:hAnsi="Times New Roman" w:cs="Times New Roman"/>
          <w:b w:val="0"/>
        </w:rPr>
        <w:t>., sez. V, 2 febbraio 2012, n. 549; 3 settembre 2009, n. 5171; sez. IV, 10 maggio 2007, n. 2254).</w:t>
      </w:r>
    </w:p>
    <w:p w:rsidR="004852CD" w:rsidRDefault="004852CD" w:rsidP="004852CD">
      <w:pPr>
        <w:pStyle w:val="Nessunaspaziatura"/>
        <w:spacing w:line="360" w:lineRule="auto"/>
        <w:jc w:val="both"/>
        <w:rPr>
          <w:rStyle w:val="Enfasigrassetto"/>
          <w:rFonts w:ascii="Times New Roman" w:hAnsi="Times New Roman" w:cs="Times New Roman"/>
          <w:b w:val="0"/>
        </w:rPr>
      </w:pPr>
      <w:r w:rsidRPr="0041313F">
        <w:rPr>
          <w:rStyle w:val="Enfasigrassetto"/>
          <w:rFonts w:ascii="Times New Roman" w:hAnsi="Times New Roman" w:cs="Times New Roman"/>
          <w:b w:val="0"/>
        </w:rPr>
        <w:t xml:space="preserve">In conclusione si ritiene </w:t>
      </w:r>
      <w:r w:rsidR="00326FFC">
        <w:rPr>
          <w:rStyle w:val="Enfasigrassetto"/>
          <w:rFonts w:ascii="Times New Roman" w:hAnsi="Times New Roman" w:cs="Times New Roman"/>
          <w:b w:val="0"/>
        </w:rPr>
        <w:t>più conforme al dettato di cui a</w:t>
      </w:r>
      <w:r w:rsidR="00326FFC" w:rsidRPr="0041313F">
        <w:rPr>
          <w:rStyle w:val="Enfasigrassetto"/>
          <w:rFonts w:ascii="Times New Roman" w:hAnsi="Times New Roman" w:cs="Times New Roman"/>
          <w:b w:val="0"/>
        </w:rPr>
        <w:t xml:space="preserve">ll’art. 46 comma 1-bis </w:t>
      </w:r>
      <w:proofErr w:type="spellStart"/>
      <w:r w:rsidR="00326FFC" w:rsidRPr="0041313F">
        <w:rPr>
          <w:rStyle w:val="Enfasigrassetto"/>
          <w:rFonts w:ascii="Times New Roman" w:hAnsi="Times New Roman" w:cs="Times New Roman"/>
          <w:b w:val="0"/>
        </w:rPr>
        <w:t>D.Lgs.</w:t>
      </w:r>
      <w:proofErr w:type="spellEnd"/>
      <w:r w:rsidR="00326FFC" w:rsidRPr="0041313F">
        <w:rPr>
          <w:rStyle w:val="Enfasigrassetto"/>
          <w:rFonts w:ascii="Times New Roman" w:hAnsi="Times New Roman" w:cs="Times New Roman"/>
          <w:b w:val="0"/>
        </w:rPr>
        <w:t xml:space="preserve"> 163/2006</w:t>
      </w:r>
      <w:r w:rsidR="00326FFC">
        <w:rPr>
          <w:rStyle w:val="Enfasigrassetto"/>
          <w:rFonts w:ascii="Times New Roman" w:hAnsi="Times New Roman" w:cs="Times New Roman"/>
          <w:b w:val="0"/>
        </w:rPr>
        <w:t>, l’interpretazione che sanziona con l’</w:t>
      </w:r>
      <w:r w:rsidR="00CA0845">
        <w:rPr>
          <w:rStyle w:val="Enfasigrassetto"/>
          <w:rFonts w:ascii="Times New Roman" w:hAnsi="Times New Roman" w:cs="Times New Roman"/>
          <w:b w:val="0"/>
        </w:rPr>
        <w:t>esclusione</w:t>
      </w:r>
      <w:r w:rsidR="00326FFC">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l’omessa presentazione dell</w:t>
      </w:r>
      <w:r>
        <w:rPr>
          <w:rStyle w:val="Enfasigrassetto"/>
          <w:rFonts w:ascii="Times New Roman" w:hAnsi="Times New Roman" w:cs="Times New Roman"/>
          <w:b w:val="0"/>
        </w:rPr>
        <w:t xml:space="preserve">a garanzia ovvero l’allegazione </w:t>
      </w:r>
      <w:r w:rsidRPr="0041313F">
        <w:rPr>
          <w:rStyle w:val="Enfasigrassetto"/>
          <w:rFonts w:ascii="Times New Roman" w:hAnsi="Times New Roman" w:cs="Times New Roman"/>
          <w:b w:val="0"/>
        </w:rPr>
        <w:t>di una cauzione provvisoria di importo inf</w:t>
      </w:r>
      <w:r>
        <w:rPr>
          <w:rStyle w:val="Enfasigrassetto"/>
          <w:rFonts w:ascii="Times New Roman" w:hAnsi="Times New Roman" w:cs="Times New Roman"/>
          <w:b w:val="0"/>
        </w:rPr>
        <w:t>eriore a quello richiesto</w:t>
      </w:r>
      <w:r w:rsidR="00326FFC">
        <w:rPr>
          <w:rStyle w:val="Enfasigrassetto"/>
          <w:rFonts w:ascii="Times New Roman" w:hAnsi="Times New Roman" w:cs="Times New Roman"/>
          <w:b w:val="0"/>
        </w:rPr>
        <w:t xml:space="preserve">. </w:t>
      </w:r>
      <w:r w:rsidRPr="0041313F">
        <w:rPr>
          <w:rStyle w:val="Enfasigrassetto"/>
          <w:rFonts w:ascii="Times New Roman" w:hAnsi="Times New Roman" w:cs="Times New Roman"/>
          <w:b w:val="0"/>
        </w:rPr>
        <w:t xml:space="preserve"> </w:t>
      </w:r>
    </w:p>
    <w:p w:rsidR="00690A18" w:rsidRPr="002A01AB" w:rsidRDefault="00690A18" w:rsidP="00690A18">
      <w:pPr>
        <w:pStyle w:val="Nessunaspaziatura"/>
        <w:spacing w:line="360" w:lineRule="auto"/>
        <w:jc w:val="both"/>
        <w:rPr>
          <w:rStyle w:val="Enfasigrassetto"/>
          <w:rFonts w:ascii="Times New Roman" w:hAnsi="Times New Roman" w:cs="Times New Roman"/>
          <w:b w:val="0"/>
          <w:bCs w:val="0"/>
        </w:rPr>
      </w:pPr>
      <w:r>
        <w:rPr>
          <w:rStyle w:val="Enfasigrassetto"/>
          <w:rFonts w:ascii="Times New Roman" w:hAnsi="Times New Roman" w:cs="Times New Roman"/>
          <w:b w:val="0"/>
          <w:bCs w:val="0"/>
        </w:rPr>
        <w:t xml:space="preserve">In relazione, invece, alla non applicabilità dell’art. 75 </w:t>
      </w:r>
      <w:proofErr w:type="spellStart"/>
      <w:r>
        <w:rPr>
          <w:rStyle w:val="Enfasigrassetto"/>
          <w:rFonts w:ascii="Times New Roman" w:hAnsi="Times New Roman" w:cs="Times New Roman"/>
          <w:b w:val="0"/>
          <w:bCs w:val="0"/>
        </w:rPr>
        <w:t>D.Lgs.</w:t>
      </w:r>
      <w:proofErr w:type="spellEnd"/>
      <w:r>
        <w:rPr>
          <w:rStyle w:val="Enfasigrassetto"/>
          <w:rFonts w:ascii="Times New Roman" w:hAnsi="Times New Roman" w:cs="Times New Roman"/>
          <w:b w:val="0"/>
          <w:bCs w:val="0"/>
        </w:rPr>
        <w:t xml:space="preserve"> 163/2006 agli affidamenti in economia, nulla può eccepirsi al ragionamento svolto</w:t>
      </w:r>
      <w:r w:rsidRPr="002A01AB">
        <w:rPr>
          <w:rStyle w:val="Enfasigrassetto"/>
          <w:rFonts w:ascii="Times New Roman" w:hAnsi="Times New Roman" w:cs="Times New Roman"/>
          <w:b w:val="0"/>
          <w:bCs w:val="0"/>
        </w:rPr>
        <w:t xml:space="preserve"> dalla giurisprudenza amministrativa e dall’organo di vi</w:t>
      </w:r>
      <w:r>
        <w:rPr>
          <w:rStyle w:val="Enfasigrassetto"/>
          <w:rFonts w:ascii="Times New Roman" w:hAnsi="Times New Roman" w:cs="Times New Roman"/>
          <w:b w:val="0"/>
          <w:bCs w:val="0"/>
        </w:rPr>
        <w:t>gilanza</w:t>
      </w:r>
      <w:r w:rsidRPr="002A01AB">
        <w:rPr>
          <w:rStyle w:val="Enfasigrassetto"/>
          <w:rFonts w:ascii="Times New Roman" w:hAnsi="Times New Roman" w:cs="Times New Roman"/>
          <w:b w:val="0"/>
          <w:bCs w:val="0"/>
        </w:rPr>
        <w:t xml:space="preserve">. </w:t>
      </w:r>
    </w:p>
    <w:p w:rsidR="00690A18" w:rsidRPr="002A01AB" w:rsidRDefault="00690A18" w:rsidP="00690A18">
      <w:pPr>
        <w:pStyle w:val="Nessunaspaziatura"/>
        <w:spacing w:line="360" w:lineRule="auto"/>
        <w:jc w:val="both"/>
        <w:rPr>
          <w:rStyle w:val="Enfasigrassetto"/>
          <w:rFonts w:ascii="Times New Roman" w:hAnsi="Times New Roman" w:cs="Times New Roman"/>
          <w:b w:val="0"/>
          <w:bCs w:val="0"/>
        </w:rPr>
      </w:pPr>
      <w:r w:rsidRPr="002A01AB">
        <w:rPr>
          <w:rStyle w:val="Enfasigrassetto"/>
          <w:rFonts w:ascii="Times New Roman" w:hAnsi="Times New Roman" w:cs="Times New Roman"/>
          <w:b w:val="0"/>
          <w:bCs w:val="0"/>
        </w:rPr>
        <w:t>In effetti agli affidamenti in economia le disposizioni del Codice diverse dall’art. 1</w:t>
      </w:r>
      <w:r>
        <w:rPr>
          <w:rStyle w:val="Enfasigrassetto"/>
          <w:rFonts w:ascii="Times New Roman" w:hAnsi="Times New Roman" w:cs="Times New Roman"/>
          <w:b w:val="0"/>
          <w:bCs w:val="0"/>
        </w:rPr>
        <w:t>25, non possono essere utilizzate</w:t>
      </w:r>
      <w:r w:rsidRPr="002A01AB">
        <w:rPr>
          <w:rStyle w:val="Enfasigrassetto"/>
          <w:rFonts w:ascii="Times New Roman" w:hAnsi="Times New Roman" w:cs="Times New Roman"/>
          <w:b w:val="0"/>
          <w:bCs w:val="0"/>
        </w:rPr>
        <w:t xml:space="preserve"> se non espressamente richiamate dalla lettera di invito. Ed anche il Regolamento sembra escludere che l’amministrazione possa richi</w:t>
      </w:r>
      <w:r>
        <w:rPr>
          <w:rStyle w:val="Enfasigrassetto"/>
          <w:rFonts w:ascii="Times New Roman" w:hAnsi="Times New Roman" w:cs="Times New Roman"/>
          <w:b w:val="0"/>
          <w:bCs w:val="0"/>
        </w:rPr>
        <w:t>edere la garanzia provvisoria: gli artt. 329 e ss. (per i servizi e forniture in economia) e gli artt. 173 e ss. (per i lavori in economia), non prevedono</w:t>
      </w:r>
      <w:r w:rsidRPr="002A01AB">
        <w:rPr>
          <w:rStyle w:val="Enfasigrassetto"/>
          <w:rFonts w:ascii="Times New Roman" w:hAnsi="Times New Roman" w:cs="Times New Roman"/>
          <w:b w:val="0"/>
          <w:bCs w:val="0"/>
        </w:rPr>
        <w:t xml:space="preserve"> la prestazione di quest’ultima, bensì della sola cauzione de</w:t>
      </w:r>
      <w:r>
        <w:rPr>
          <w:rStyle w:val="Enfasigrassetto"/>
          <w:rFonts w:ascii="Times New Roman" w:hAnsi="Times New Roman" w:cs="Times New Roman"/>
          <w:b w:val="0"/>
          <w:bCs w:val="0"/>
        </w:rPr>
        <w:t>finitiva. Ciò dimostrerebbe, pertanto, che</w:t>
      </w:r>
      <w:r w:rsidRPr="002A01AB">
        <w:rPr>
          <w:rStyle w:val="Enfasigrassetto"/>
          <w:rFonts w:ascii="Times New Roman" w:hAnsi="Times New Roman" w:cs="Times New Roman"/>
          <w:b w:val="0"/>
          <w:bCs w:val="0"/>
        </w:rPr>
        <w:t xml:space="preserve"> il legislatore </w:t>
      </w:r>
      <w:r>
        <w:rPr>
          <w:rStyle w:val="Enfasigrassetto"/>
          <w:rFonts w:ascii="Times New Roman" w:hAnsi="Times New Roman" w:cs="Times New Roman"/>
          <w:b w:val="0"/>
          <w:bCs w:val="0"/>
        </w:rPr>
        <w:t>non abbia voluto imporre la prestazione della</w:t>
      </w:r>
      <w:r w:rsidRPr="002A01AB">
        <w:rPr>
          <w:rStyle w:val="Enfasigrassetto"/>
          <w:rFonts w:ascii="Times New Roman" w:hAnsi="Times New Roman" w:cs="Times New Roman"/>
          <w:b w:val="0"/>
          <w:bCs w:val="0"/>
        </w:rPr>
        <w:t xml:space="preserve"> cauzione provvisoria </w:t>
      </w:r>
      <w:r>
        <w:rPr>
          <w:rStyle w:val="Enfasigrassetto"/>
          <w:rFonts w:ascii="Times New Roman" w:hAnsi="Times New Roman" w:cs="Times New Roman"/>
          <w:b w:val="0"/>
          <w:bCs w:val="0"/>
        </w:rPr>
        <w:t xml:space="preserve">nelle suddette procedure semplificate, perché altrimenti </w:t>
      </w:r>
      <w:r w:rsidRPr="002A01AB">
        <w:rPr>
          <w:rStyle w:val="Enfasigrassetto"/>
          <w:rFonts w:ascii="Times New Roman" w:hAnsi="Times New Roman" w:cs="Times New Roman"/>
          <w:b w:val="0"/>
          <w:bCs w:val="0"/>
        </w:rPr>
        <w:t>lo</w:t>
      </w:r>
      <w:r>
        <w:rPr>
          <w:rStyle w:val="Enfasigrassetto"/>
          <w:rFonts w:ascii="Times New Roman" w:hAnsi="Times New Roman" w:cs="Times New Roman"/>
          <w:b w:val="0"/>
          <w:bCs w:val="0"/>
        </w:rPr>
        <w:t xml:space="preserve"> avrebbe previsto espressamente così come lo ha fatto per la fideiussione definitiva. </w:t>
      </w:r>
      <w:r w:rsidRPr="002A01AB">
        <w:rPr>
          <w:rStyle w:val="Enfasigrassetto"/>
          <w:rFonts w:ascii="Times New Roman" w:hAnsi="Times New Roman" w:cs="Times New Roman"/>
          <w:b w:val="0"/>
          <w:bCs w:val="0"/>
        </w:rPr>
        <w:t xml:space="preserve"> </w:t>
      </w:r>
    </w:p>
    <w:p w:rsidR="00690A18" w:rsidRPr="003756E1" w:rsidRDefault="00690A18" w:rsidP="00690A18">
      <w:pPr>
        <w:pStyle w:val="Nessunaspaziatura"/>
        <w:spacing w:line="360" w:lineRule="auto"/>
        <w:jc w:val="both"/>
        <w:rPr>
          <w:rFonts w:ascii="Times New Roman" w:hAnsi="Times New Roman" w:cs="Times New Roman"/>
          <w:i/>
        </w:rPr>
      </w:pPr>
      <w:r w:rsidRPr="002A01AB">
        <w:rPr>
          <w:rStyle w:val="Enfasigrassetto"/>
          <w:rFonts w:ascii="Times New Roman" w:hAnsi="Times New Roman" w:cs="Times New Roman"/>
          <w:b w:val="0"/>
          <w:bCs w:val="0"/>
        </w:rPr>
        <w:t>L’un</w:t>
      </w:r>
      <w:r>
        <w:rPr>
          <w:rStyle w:val="Enfasigrassetto"/>
          <w:rFonts w:ascii="Times New Roman" w:hAnsi="Times New Roman" w:cs="Times New Roman"/>
          <w:b w:val="0"/>
          <w:bCs w:val="0"/>
        </w:rPr>
        <w:t xml:space="preserve">ico dubbio </w:t>
      </w:r>
      <w:r w:rsidRPr="002A01AB">
        <w:rPr>
          <w:rStyle w:val="Enfasigrassetto"/>
          <w:rFonts w:ascii="Times New Roman" w:hAnsi="Times New Roman" w:cs="Times New Roman"/>
          <w:b w:val="0"/>
          <w:bCs w:val="0"/>
        </w:rPr>
        <w:t xml:space="preserve">è se la garanzia ex art. 75 </w:t>
      </w:r>
      <w:proofErr w:type="spellStart"/>
      <w:r w:rsidRPr="002A01AB">
        <w:rPr>
          <w:rStyle w:val="Enfasigrassetto"/>
          <w:rFonts w:ascii="Times New Roman" w:hAnsi="Times New Roman" w:cs="Times New Roman"/>
          <w:b w:val="0"/>
          <w:bCs w:val="0"/>
        </w:rPr>
        <w:t>D.Lgs.</w:t>
      </w:r>
      <w:proofErr w:type="spellEnd"/>
      <w:r w:rsidRPr="002A01AB">
        <w:rPr>
          <w:rStyle w:val="Enfasigrassetto"/>
          <w:rFonts w:ascii="Times New Roman" w:hAnsi="Times New Roman" w:cs="Times New Roman"/>
          <w:b w:val="0"/>
          <w:bCs w:val="0"/>
        </w:rPr>
        <w:t xml:space="preserve"> 163/2006 possa assurgere a principio del Codice, </w:t>
      </w:r>
      <w:proofErr w:type="spellStart"/>
      <w:r w:rsidRPr="002A01AB">
        <w:rPr>
          <w:rStyle w:val="Enfasigrassetto"/>
          <w:rFonts w:ascii="Times New Roman" w:hAnsi="Times New Roman" w:cs="Times New Roman"/>
          <w:b w:val="0"/>
          <w:bCs w:val="0"/>
        </w:rPr>
        <w:t>poichè</w:t>
      </w:r>
      <w:proofErr w:type="spellEnd"/>
      <w:r w:rsidRPr="002A01AB">
        <w:rPr>
          <w:rStyle w:val="Enfasigrassetto"/>
          <w:rFonts w:ascii="Times New Roman" w:hAnsi="Times New Roman" w:cs="Times New Roman"/>
          <w:b w:val="0"/>
          <w:bCs w:val="0"/>
        </w:rPr>
        <w:t xml:space="preserve"> in tal caso il concorrente dovrebbe allegarla all’offerta in virtù dell’art. 125 comma 14 del </w:t>
      </w:r>
      <w:proofErr w:type="spellStart"/>
      <w:r w:rsidRPr="002A01AB">
        <w:rPr>
          <w:rStyle w:val="Enfasigrassetto"/>
          <w:rFonts w:ascii="Times New Roman" w:hAnsi="Times New Roman" w:cs="Times New Roman"/>
          <w:b w:val="0"/>
          <w:bCs w:val="0"/>
        </w:rPr>
        <w:t>D.Lgs.</w:t>
      </w:r>
      <w:proofErr w:type="spellEnd"/>
      <w:r w:rsidRPr="002A01AB">
        <w:rPr>
          <w:rStyle w:val="Enfasigrassetto"/>
          <w:rFonts w:ascii="Times New Roman" w:hAnsi="Times New Roman" w:cs="Times New Roman"/>
          <w:b w:val="0"/>
          <w:bCs w:val="0"/>
        </w:rPr>
        <w:t xml:space="preserve"> 163/2006 </w:t>
      </w:r>
      <w:r w:rsidRPr="003756E1">
        <w:rPr>
          <w:rStyle w:val="Enfasigrassetto"/>
          <w:rFonts w:ascii="Times New Roman" w:hAnsi="Times New Roman" w:cs="Times New Roman"/>
          <w:b w:val="0"/>
          <w:bCs w:val="0"/>
          <w:i/>
        </w:rPr>
        <w:t>(“</w:t>
      </w:r>
      <w:r w:rsidRPr="003756E1">
        <w:rPr>
          <w:rFonts w:ascii="Times New Roman" w:hAnsi="Times New Roman" w:cs="Times New Roman"/>
          <w:i/>
        </w:rPr>
        <w:t>I procedimenti di acquisizione di prestazioni in economia sono disciplinati, nel rispetto…dei principi in tema di procedure di affidamento e di esecuzione del contratto desumibili dal presente codice”</w:t>
      </w:r>
      <w:r>
        <w:rPr>
          <w:rFonts w:ascii="Times New Roman" w:hAnsi="Times New Roman" w:cs="Times New Roman"/>
          <w:i/>
        </w:rPr>
        <w:t>)</w:t>
      </w:r>
      <w:r w:rsidRPr="003756E1">
        <w:rPr>
          <w:rFonts w:ascii="Times New Roman" w:hAnsi="Times New Roman" w:cs="Times New Roman"/>
          <w:i/>
        </w:rPr>
        <w:t>.</w:t>
      </w:r>
    </w:p>
    <w:p w:rsidR="00690A18" w:rsidRDefault="00690A18" w:rsidP="00690A18">
      <w:pPr>
        <w:pStyle w:val="Nessunaspaziatura"/>
        <w:spacing w:line="360" w:lineRule="auto"/>
        <w:jc w:val="both"/>
        <w:rPr>
          <w:rFonts w:ascii="Times New Roman" w:hAnsi="Times New Roman" w:cs="Times New Roman"/>
        </w:rPr>
      </w:pPr>
      <w:r w:rsidRPr="002A01AB">
        <w:rPr>
          <w:rFonts w:ascii="Times New Roman" w:hAnsi="Times New Roman" w:cs="Times New Roman"/>
        </w:rPr>
        <w:t xml:space="preserve">Questo tema è stato affrontato dalla giurisprudenza con riferimento alle concessioni di servizi ed, in quell’occasione, è stato </w:t>
      </w:r>
      <w:r>
        <w:rPr>
          <w:rFonts w:ascii="Times New Roman" w:hAnsi="Times New Roman" w:cs="Times New Roman"/>
        </w:rPr>
        <w:t xml:space="preserve">affermato che le previsioni di cui all’art. 75 del Codice </w:t>
      </w:r>
      <w:r w:rsidRPr="002A01AB">
        <w:rPr>
          <w:rFonts w:ascii="Times New Roman" w:hAnsi="Times New Roman" w:cs="Times New Roman"/>
        </w:rPr>
        <w:t xml:space="preserve">non </w:t>
      </w:r>
      <w:r>
        <w:rPr>
          <w:rFonts w:ascii="Times New Roman" w:hAnsi="Times New Roman" w:cs="Times New Roman"/>
        </w:rPr>
        <w:t>costituirebbero</w:t>
      </w:r>
      <w:r w:rsidRPr="002A01AB">
        <w:rPr>
          <w:rFonts w:ascii="Times New Roman" w:hAnsi="Times New Roman" w:cs="Times New Roman"/>
        </w:rPr>
        <w:t xml:space="preserve"> </w:t>
      </w:r>
      <w:r>
        <w:rPr>
          <w:rFonts w:ascii="Times New Roman" w:hAnsi="Times New Roman" w:cs="Times New Roman"/>
        </w:rPr>
        <w:t xml:space="preserve">dei </w:t>
      </w:r>
      <w:r w:rsidRPr="002A01AB">
        <w:rPr>
          <w:rFonts w:ascii="Times New Roman" w:hAnsi="Times New Roman" w:cs="Times New Roman"/>
        </w:rPr>
        <w:t>principi generali esportabili al di fuori della logica dei contratti pubblici, i</w:t>
      </w:r>
      <w:r>
        <w:rPr>
          <w:rFonts w:ascii="Times New Roman" w:hAnsi="Times New Roman" w:cs="Times New Roman"/>
        </w:rPr>
        <w:t>n quanto le concessioni risponderebbero</w:t>
      </w:r>
      <w:r w:rsidRPr="002A01AB">
        <w:rPr>
          <w:rFonts w:ascii="Times New Roman" w:hAnsi="Times New Roman" w:cs="Times New Roman"/>
        </w:rPr>
        <w:t xml:space="preserve"> ad una impostazione strutturale diversa da quella contrattuale</w:t>
      </w:r>
      <w:r>
        <w:rPr>
          <w:rStyle w:val="Rimandonotaapidipagina"/>
          <w:rFonts w:ascii="Times New Roman" w:hAnsi="Times New Roman" w:cs="Times New Roman"/>
        </w:rPr>
        <w:footnoteReference w:id="9"/>
      </w:r>
      <w:r>
        <w:rPr>
          <w:rFonts w:ascii="Times New Roman" w:hAnsi="Times New Roman" w:cs="Times New Roman"/>
        </w:rPr>
        <w:t xml:space="preserve">. </w:t>
      </w:r>
    </w:p>
    <w:p w:rsidR="00690A18" w:rsidRDefault="00690A18" w:rsidP="00690A18">
      <w:pPr>
        <w:pStyle w:val="Nessunaspaziatura"/>
        <w:spacing w:line="360" w:lineRule="auto"/>
        <w:jc w:val="both"/>
        <w:rPr>
          <w:rFonts w:ascii="Times New Roman" w:hAnsi="Times New Roman" w:cs="Times New Roman"/>
        </w:rPr>
      </w:pPr>
      <w:r w:rsidRPr="002A01AB">
        <w:rPr>
          <w:rFonts w:ascii="Times New Roman" w:hAnsi="Times New Roman" w:cs="Times New Roman"/>
        </w:rPr>
        <w:lastRenderedPageBreak/>
        <w:t>L’interrogativo quind</w:t>
      </w:r>
      <w:r>
        <w:rPr>
          <w:rFonts w:ascii="Times New Roman" w:hAnsi="Times New Roman" w:cs="Times New Roman"/>
        </w:rPr>
        <w:t>i rimane, poiché il Consiglio di Stato</w:t>
      </w:r>
      <w:r w:rsidRPr="002A01AB">
        <w:rPr>
          <w:rFonts w:ascii="Times New Roman" w:hAnsi="Times New Roman" w:cs="Times New Roman"/>
        </w:rPr>
        <w:t>, sep</w:t>
      </w:r>
      <w:r>
        <w:rPr>
          <w:rFonts w:ascii="Times New Roman" w:hAnsi="Times New Roman" w:cs="Times New Roman"/>
        </w:rPr>
        <w:t>pur in modo non chiarissimo</w:t>
      </w:r>
      <w:r w:rsidRPr="002A01AB">
        <w:rPr>
          <w:rFonts w:ascii="Times New Roman" w:hAnsi="Times New Roman" w:cs="Times New Roman"/>
        </w:rPr>
        <w:t>, sembrerebbe sostenere che la norma suddetta sia un principio generale applicabile ai contratti pubblici, anche se non estendibile alle concessioni di servizi.</w:t>
      </w:r>
    </w:p>
    <w:p w:rsidR="00690A18" w:rsidRDefault="00690A18" w:rsidP="00690A18">
      <w:pPr>
        <w:pStyle w:val="Nessunaspaziatura"/>
        <w:spacing w:line="360" w:lineRule="auto"/>
        <w:jc w:val="both"/>
        <w:rPr>
          <w:rFonts w:ascii="Times New Roman" w:hAnsi="Times New Roman" w:cs="Times New Roman"/>
        </w:rPr>
      </w:pPr>
      <w:r>
        <w:rPr>
          <w:rFonts w:ascii="Times New Roman" w:hAnsi="Times New Roman" w:cs="Times New Roman"/>
        </w:rPr>
        <w:t xml:space="preserve">Alla luce di quanto sopra, considerata anche l’importanza e l’elevato utilizzo delle procedure in economia, sarà necessario attendere maggiori approfondimenti e sviluppi giurisprudenziali prima di sostenere con certezza che nei suddetti affidamenti non sussista l’obbligo di allegazione della cauzione provvisoria. </w:t>
      </w:r>
      <w:r w:rsidRPr="002A01AB">
        <w:rPr>
          <w:rFonts w:ascii="Times New Roman" w:hAnsi="Times New Roman" w:cs="Times New Roman"/>
        </w:rPr>
        <w:t xml:space="preserve"> </w:t>
      </w:r>
    </w:p>
    <w:p w:rsidR="00027842" w:rsidRDefault="00027842" w:rsidP="00690A18">
      <w:pPr>
        <w:pStyle w:val="Nessunaspaziatura"/>
        <w:spacing w:line="360" w:lineRule="auto"/>
        <w:jc w:val="both"/>
        <w:rPr>
          <w:rFonts w:ascii="Times New Roman" w:hAnsi="Times New Roman" w:cs="Times New Roman"/>
        </w:rPr>
      </w:pPr>
    </w:p>
    <w:p w:rsidR="00027842" w:rsidRDefault="00027842" w:rsidP="00027842">
      <w:pPr>
        <w:shd w:val="clear" w:color="auto" w:fill="FFFFFF"/>
        <w:spacing w:after="0" w:line="480" w:lineRule="auto"/>
        <w:jc w:val="both"/>
        <w:rPr>
          <w:rFonts w:ascii="Times New Roman" w:eastAsia="Times New Roman" w:hAnsi="Times New Roman"/>
          <w:lang w:eastAsia="it-IT"/>
        </w:rPr>
      </w:pPr>
      <w:r>
        <w:rPr>
          <w:rFonts w:ascii="Times New Roman" w:eastAsia="Times New Roman" w:hAnsi="Times New Roman"/>
          <w:b/>
          <w:bCs/>
          <w:lang w:eastAsia="it-IT"/>
        </w:rPr>
        <w:t xml:space="preserve">                                                                                                                            </w:t>
      </w: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Default="00027842" w:rsidP="00027842">
      <w:pPr>
        <w:shd w:val="clear" w:color="auto" w:fill="FFFFFF"/>
        <w:spacing w:after="0" w:line="480" w:lineRule="auto"/>
        <w:jc w:val="both"/>
        <w:rPr>
          <w:rFonts w:ascii="Times New Roman" w:eastAsia="Times New Roman" w:hAnsi="Times New Roman"/>
          <w:lang w:eastAsia="it-IT"/>
        </w:rPr>
      </w:pPr>
    </w:p>
    <w:p w:rsidR="00027842" w:rsidRPr="009732C9" w:rsidRDefault="00027842" w:rsidP="00027842">
      <w:pPr>
        <w:shd w:val="clear" w:color="auto" w:fill="FFFFFF"/>
        <w:spacing w:after="0" w:line="480" w:lineRule="auto"/>
        <w:jc w:val="both"/>
        <w:rPr>
          <w:rFonts w:ascii="Times New Roman" w:eastAsia="Times New Roman" w:hAnsi="Times New Roman"/>
          <w:lang w:eastAsia="it-IT"/>
        </w:rPr>
      </w:pPr>
      <w:r>
        <w:rPr>
          <w:rFonts w:ascii="Times New Roman" w:eastAsia="Times New Roman" w:hAnsi="Times New Roman"/>
          <w:lang w:eastAsia="it-IT"/>
        </w:rPr>
        <w:t xml:space="preserve">*Avvocato amministrativista del Foro di Cagliari. </w:t>
      </w:r>
      <w:r w:rsidRPr="009732C9">
        <w:rPr>
          <w:rFonts w:ascii="Times New Roman" w:eastAsia="Times New Roman" w:hAnsi="Times New Roman"/>
          <w:lang w:eastAsia="it-IT"/>
        </w:rPr>
        <w:t xml:space="preserve">Esperto in diritto degli appalti pubblici, consulente di pubbliche amministrazioni e autore di </w:t>
      </w:r>
      <w:r>
        <w:rPr>
          <w:rFonts w:ascii="Times New Roman" w:eastAsia="Times New Roman" w:hAnsi="Times New Roman"/>
          <w:lang w:eastAsia="it-IT"/>
        </w:rPr>
        <w:t xml:space="preserve">pubblicazioni </w:t>
      </w:r>
      <w:r w:rsidRPr="009732C9">
        <w:rPr>
          <w:rFonts w:ascii="Times New Roman" w:eastAsia="Times New Roman" w:hAnsi="Times New Roman"/>
          <w:lang w:eastAsia="it-IT"/>
        </w:rPr>
        <w:t>in materia</w:t>
      </w:r>
      <w:r>
        <w:rPr>
          <w:rFonts w:ascii="Times New Roman" w:eastAsia="Times New Roman" w:hAnsi="Times New Roman"/>
          <w:lang w:eastAsia="it-IT"/>
        </w:rPr>
        <w:t>.</w:t>
      </w:r>
    </w:p>
    <w:p w:rsidR="00027842" w:rsidRPr="002A01AB" w:rsidRDefault="00027842" w:rsidP="00690A18">
      <w:pPr>
        <w:pStyle w:val="Nessunaspaziatura"/>
        <w:spacing w:line="360" w:lineRule="auto"/>
        <w:jc w:val="both"/>
        <w:rPr>
          <w:rStyle w:val="Enfasigrassetto"/>
          <w:rFonts w:ascii="Times New Roman" w:hAnsi="Times New Roman" w:cs="Times New Roman"/>
          <w:b w:val="0"/>
          <w:bCs w:val="0"/>
        </w:rPr>
      </w:pPr>
    </w:p>
    <w:p w:rsidR="004852CD" w:rsidRPr="004852CD" w:rsidRDefault="004852CD" w:rsidP="00736141">
      <w:pPr>
        <w:pStyle w:val="Nessunaspaziatura"/>
        <w:spacing w:line="360" w:lineRule="auto"/>
        <w:jc w:val="both"/>
        <w:rPr>
          <w:rStyle w:val="Enfasigrassetto"/>
          <w:rFonts w:ascii="Times New Roman" w:hAnsi="Times New Roman" w:cs="Times New Roman"/>
        </w:rPr>
      </w:pPr>
    </w:p>
    <w:sectPr w:rsidR="004852CD" w:rsidRPr="004852C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A2" w:rsidRDefault="00836FA2" w:rsidP="009B3BD9">
      <w:pPr>
        <w:spacing w:after="0" w:line="240" w:lineRule="auto"/>
      </w:pPr>
      <w:r>
        <w:separator/>
      </w:r>
    </w:p>
  </w:endnote>
  <w:endnote w:type="continuationSeparator" w:id="0">
    <w:p w:rsidR="00836FA2" w:rsidRDefault="00836FA2" w:rsidP="009B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A2" w:rsidRDefault="00836FA2" w:rsidP="009B3BD9">
      <w:pPr>
        <w:spacing w:after="0" w:line="240" w:lineRule="auto"/>
      </w:pPr>
      <w:r>
        <w:separator/>
      </w:r>
    </w:p>
  </w:footnote>
  <w:footnote w:type="continuationSeparator" w:id="0">
    <w:p w:rsidR="00836FA2" w:rsidRDefault="00836FA2" w:rsidP="009B3BD9">
      <w:pPr>
        <w:spacing w:after="0" w:line="240" w:lineRule="auto"/>
      </w:pPr>
      <w:r>
        <w:continuationSeparator/>
      </w:r>
    </w:p>
  </w:footnote>
  <w:footnote w:id="1">
    <w:p w:rsidR="00C12B44" w:rsidRDefault="00C12B44" w:rsidP="00C12B44">
      <w:pPr>
        <w:pStyle w:val="Nessunaspaziatura"/>
        <w:spacing w:line="360" w:lineRule="auto"/>
        <w:jc w:val="both"/>
      </w:pPr>
      <w:r>
        <w:rPr>
          <w:rStyle w:val="Rimandonotaapidipagina"/>
        </w:rPr>
        <w:footnoteRef/>
      </w:r>
      <w:r>
        <w:rPr>
          <w:rStyle w:val="Enfasigrassetto"/>
          <w:rFonts w:ascii="Times New Roman" w:hAnsi="Times New Roman" w:cs="Times New Roman"/>
          <w:b w:val="0"/>
          <w:sz w:val="16"/>
          <w:szCs w:val="16"/>
        </w:rPr>
        <w:t>P</w:t>
      </w:r>
      <w:r w:rsidRPr="00DF4F69">
        <w:rPr>
          <w:rStyle w:val="Enfasigrassetto"/>
          <w:rFonts w:ascii="Times New Roman" w:hAnsi="Times New Roman" w:cs="Times New Roman"/>
          <w:b w:val="0"/>
          <w:sz w:val="16"/>
          <w:szCs w:val="16"/>
        </w:rPr>
        <w:t>er la validità della polizza fideiussoria non vi è bisogno dell'accettaz</w:t>
      </w:r>
      <w:r>
        <w:rPr>
          <w:rStyle w:val="Enfasigrassetto"/>
          <w:rFonts w:ascii="Times New Roman" w:hAnsi="Times New Roman" w:cs="Times New Roman"/>
          <w:b w:val="0"/>
          <w:sz w:val="16"/>
          <w:szCs w:val="16"/>
        </w:rPr>
        <w:t>ione del terzo beneficiario</w:t>
      </w:r>
      <w:r w:rsidRPr="00DF4F69">
        <w:rPr>
          <w:rStyle w:val="Enfasigrassetto"/>
          <w:rFonts w:ascii="Times New Roman" w:hAnsi="Times New Roman" w:cs="Times New Roman"/>
          <w:b w:val="0"/>
          <w:sz w:val="16"/>
          <w:szCs w:val="16"/>
        </w:rPr>
        <w:t>; la polizza fideiussoria, infatti, è un negozio stipulato, non tra il fideiussore e il creditore, ma, di regola, dal debitore principale su richiesta ed in favore del committente beneficiario (creditore principale), strutturalmente articolato secondo lo schema del contratto a favore di terzo - il quale non è parte né formale né sostanziale del rapporto - e funzionalmente volto all'assunzione dell'impegno, da parte di una banca o di una compagnia di assicurazione (promittente), di pagare un determinato importo al beneficiario, onde garantirlo nel caso di inadempimento della prestazione a lui dovuta dal contraente</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(T.A.R.  sez. II  Lecce , Puglia 12/11/2012 n.1867; Cassazione civile, sez. un., 18 febbraio 2010, n. 3947; Cassazione civile, sez. I, 21 ottobre 2010, n. 21645).</w:t>
      </w:r>
      <w:r w:rsidRPr="00C12B44">
        <w:rPr>
          <w:rStyle w:val="Enfasigrassetto"/>
          <w:rFonts w:ascii="Times New Roman" w:hAnsi="Times New Roman" w:cs="Times New Roman"/>
          <w:b w:val="0"/>
          <w:sz w:val="16"/>
          <w:szCs w:val="16"/>
        </w:rPr>
        <w:t xml:space="preserve"> </w:t>
      </w:r>
    </w:p>
  </w:footnote>
  <w:footnote w:id="2">
    <w:p w:rsidR="007E26AE" w:rsidRPr="007E26AE" w:rsidRDefault="007E26AE" w:rsidP="007E26AE">
      <w:pPr>
        <w:pStyle w:val="Testonotaapidipagina"/>
        <w:spacing w:line="360" w:lineRule="auto"/>
        <w:jc w:val="both"/>
        <w:rPr>
          <w:rFonts w:ascii="Times New Roman" w:hAnsi="Times New Roman" w:cs="Times New Roman"/>
          <w:sz w:val="16"/>
          <w:szCs w:val="16"/>
        </w:rPr>
      </w:pPr>
      <w:r w:rsidRPr="007E26AE">
        <w:rPr>
          <w:rStyle w:val="Rimandonotaapidipagina"/>
          <w:rFonts w:ascii="Times New Roman" w:hAnsi="Times New Roman" w:cs="Times New Roman"/>
          <w:sz w:val="16"/>
          <w:szCs w:val="16"/>
        </w:rPr>
        <w:footnoteRef/>
      </w:r>
      <w:r w:rsidRPr="007E26AE">
        <w:rPr>
          <w:rFonts w:ascii="Times New Roman" w:hAnsi="Times New Roman" w:cs="Times New Roman"/>
          <w:sz w:val="16"/>
          <w:szCs w:val="16"/>
        </w:rPr>
        <w:t xml:space="preserve"> La produzione di un assegno circolare, quale ordinario strumento di pagamento delle obbligazioni pecuniarie, è in tutto e per tutto equivalente al </w:t>
      </w:r>
      <w:proofErr w:type="spellStart"/>
      <w:r w:rsidRPr="007E26AE">
        <w:rPr>
          <w:rFonts w:ascii="Times New Roman" w:hAnsi="Times New Roman" w:cs="Times New Roman"/>
          <w:sz w:val="16"/>
          <w:szCs w:val="16"/>
        </w:rPr>
        <w:t>veraamento</w:t>
      </w:r>
      <w:proofErr w:type="spellEnd"/>
      <w:r w:rsidRPr="007E26AE">
        <w:rPr>
          <w:rFonts w:ascii="Times New Roman" w:hAnsi="Times New Roman" w:cs="Times New Roman"/>
          <w:sz w:val="16"/>
          <w:szCs w:val="16"/>
        </w:rPr>
        <w:t xml:space="preserve"> in contanti delle somme dovute (T.A.R. Toscana, Sez. I, 27.10.2011 n. 1584; T.A.R. Sicilia, Palermo, Sez. II, 13.07.2011 n. 1342; T.A.R. Piemonte, Sez. I, 1.03.2010 n. 1292)</w:t>
      </w:r>
    </w:p>
  </w:footnote>
  <w:footnote w:id="3">
    <w:p w:rsidR="00C12B44" w:rsidRDefault="00C12B44" w:rsidP="005818BA">
      <w:pPr>
        <w:pStyle w:val="Nessunaspaziatura"/>
        <w:spacing w:line="360" w:lineRule="auto"/>
        <w:jc w:val="both"/>
        <w:rPr>
          <w:rStyle w:val="Enfasigrassetto"/>
          <w:rFonts w:ascii="Times New Roman" w:hAnsi="Times New Roman" w:cs="Times New Roman"/>
          <w:b w:val="0"/>
          <w:sz w:val="16"/>
          <w:szCs w:val="16"/>
        </w:rPr>
      </w:pPr>
    </w:p>
    <w:p w:rsidR="005818BA" w:rsidRPr="004062E6" w:rsidRDefault="005818BA" w:rsidP="005818BA">
      <w:pPr>
        <w:pStyle w:val="Nessunaspaziatura"/>
        <w:spacing w:line="360" w:lineRule="auto"/>
        <w:jc w:val="both"/>
        <w:rPr>
          <w:rFonts w:ascii="Times New Roman" w:hAnsi="Times New Roman" w:cs="Times New Roman"/>
          <w:sz w:val="16"/>
          <w:szCs w:val="16"/>
        </w:rPr>
      </w:pPr>
      <w:r w:rsidRPr="004062E6">
        <w:rPr>
          <w:rStyle w:val="Rimandonotaapidipagina"/>
          <w:rFonts w:ascii="Times New Roman" w:hAnsi="Times New Roman" w:cs="Times New Roman"/>
          <w:sz w:val="16"/>
          <w:szCs w:val="16"/>
        </w:rPr>
        <w:footnoteRef/>
      </w:r>
      <w:r w:rsidRPr="004062E6">
        <w:rPr>
          <w:rStyle w:val="Enfasigrassetto"/>
          <w:rFonts w:ascii="Times New Roman" w:hAnsi="Times New Roman" w:cs="Times New Roman"/>
          <w:b w:val="0"/>
          <w:sz w:val="16"/>
          <w:szCs w:val="16"/>
        </w:rPr>
        <w:t>La prestazione della caparra è diretta a coprire la mancata sottoscrizione del contratto per fatto proprio dell’aggiudicatario e ha la medesima funzione della clausola penale, atteso che essa è diretta a predeterminare la conseguenza dell’inadempimento (incameramento della cauzione), in funzione di liquidazione forfetaria del danno, prescindendo dall’esatta portata quantitativa del nocumento patito dalla pubblica amministrazione, tant’è che non viene prevista espressamente la risarcibilità del danno eventualmente non coperto dalla cauzione in parola. Ne consegue che l’Amministrazione non deve dimostrare le ragioni per l’incameramento della cauzione provvisoria, trattandosi, nella specie, non del ristoro di un danno subito, ovvero da documentare, ma dell’applicazione di una sanzione per la mancata stipula del contratto per fatti dell’aggiudicatario (</w:t>
      </w:r>
      <w:proofErr w:type="spellStart"/>
      <w:r w:rsidRPr="004062E6">
        <w:rPr>
          <w:rStyle w:val="Enfasigrassetto"/>
          <w:rFonts w:ascii="Times New Roman" w:hAnsi="Times New Roman" w:cs="Times New Roman"/>
          <w:b w:val="0"/>
          <w:sz w:val="16"/>
          <w:szCs w:val="16"/>
        </w:rPr>
        <w:t>Cons</w:t>
      </w:r>
      <w:proofErr w:type="spellEnd"/>
      <w:r w:rsidRPr="004062E6">
        <w:rPr>
          <w:rStyle w:val="Enfasigrassetto"/>
          <w:rFonts w:ascii="Times New Roman" w:hAnsi="Times New Roman" w:cs="Times New Roman"/>
          <w:b w:val="0"/>
          <w:sz w:val="16"/>
          <w:szCs w:val="16"/>
        </w:rPr>
        <w:t>. Stato, sez. V, 12.6.2009, n. 3746; T.A.R. Trentino Alto Adige Bolzano, 20.11.2008, n. 379; Consiglio Stato, sez. V, 11.12.2007, n. 6362; Tar Puglia, Bari, sez. I, 27.10.2005 n. 4605).</w:t>
      </w:r>
    </w:p>
  </w:footnote>
  <w:footnote w:id="4">
    <w:p w:rsidR="005818BA" w:rsidRDefault="005818BA" w:rsidP="005818BA">
      <w:pPr>
        <w:pStyle w:val="Testonotaapidipagina"/>
      </w:pPr>
      <w:r>
        <w:rPr>
          <w:rStyle w:val="Rimandonotaapidipagina"/>
        </w:rPr>
        <w:footnoteRef/>
      </w:r>
      <w:r>
        <w:t xml:space="preserve"> </w:t>
      </w:r>
      <w:proofErr w:type="spellStart"/>
      <w:r>
        <w:rPr>
          <w:rStyle w:val="Enfasigrassetto"/>
          <w:rFonts w:ascii="Times New Roman" w:hAnsi="Times New Roman" w:cs="Times New Roman"/>
          <w:b w:val="0"/>
          <w:sz w:val="16"/>
          <w:szCs w:val="16"/>
        </w:rPr>
        <w:t>Ca</w:t>
      </w:r>
      <w:r w:rsidRPr="00D615DE">
        <w:rPr>
          <w:rStyle w:val="Enfasigrassetto"/>
          <w:rFonts w:ascii="Times New Roman" w:hAnsi="Times New Roman" w:cs="Times New Roman"/>
          <w:b w:val="0"/>
          <w:sz w:val="16"/>
          <w:szCs w:val="16"/>
        </w:rPr>
        <w:t>ss</w:t>
      </w:r>
      <w:proofErr w:type="spellEnd"/>
      <w:r w:rsidRPr="00D615DE">
        <w:rPr>
          <w:rStyle w:val="Enfasigrassetto"/>
          <w:rFonts w:ascii="Times New Roman" w:hAnsi="Times New Roman" w:cs="Times New Roman"/>
          <w:b w:val="0"/>
          <w:sz w:val="16"/>
          <w:szCs w:val="16"/>
        </w:rPr>
        <w:t>., sez. un., 18 febbraio 2010 n. 3947.</w:t>
      </w:r>
    </w:p>
  </w:footnote>
  <w:footnote w:id="5">
    <w:p w:rsidR="005818BA" w:rsidRPr="00D615DE" w:rsidRDefault="005818BA" w:rsidP="005818BA">
      <w:pPr>
        <w:pStyle w:val="Nessunaspaziatura"/>
        <w:spacing w:line="360" w:lineRule="auto"/>
        <w:jc w:val="both"/>
        <w:rPr>
          <w:rFonts w:ascii="Times New Roman" w:hAnsi="Times New Roman" w:cs="Times New Roman"/>
          <w:bCs/>
        </w:rPr>
      </w:pPr>
      <w:r w:rsidRPr="00D615DE">
        <w:rPr>
          <w:rStyle w:val="Rimandonotaapidipagina"/>
          <w:sz w:val="16"/>
          <w:szCs w:val="16"/>
        </w:rPr>
        <w:footnoteRef/>
      </w:r>
      <w:r w:rsidRPr="00D615DE">
        <w:rPr>
          <w:sz w:val="16"/>
          <w:szCs w:val="16"/>
        </w:rPr>
        <w:t xml:space="preserve"> </w:t>
      </w:r>
      <w:r w:rsidRPr="00D615DE">
        <w:rPr>
          <w:rStyle w:val="Enfasigrassetto"/>
          <w:rFonts w:ascii="Times New Roman" w:hAnsi="Times New Roman" w:cs="Times New Roman"/>
          <w:b w:val="0"/>
          <w:sz w:val="16"/>
          <w:szCs w:val="16"/>
        </w:rPr>
        <w:t>Le sezioni unite della Corte di Cassazione hanno chiari</w:t>
      </w:r>
      <w:r w:rsidR="00352C4C">
        <w:rPr>
          <w:rStyle w:val="Enfasigrassetto"/>
          <w:rFonts w:ascii="Times New Roman" w:hAnsi="Times New Roman" w:cs="Times New Roman"/>
          <w:b w:val="0"/>
          <w:sz w:val="16"/>
          <w:szCs w:val="16"/>
        </w:rPr>
        <w:t>to la questione dell’</w:t>
      </w:r>
      <w:r w:rsidRPr="00D615DE">
        <w:rPr>
          <w:rStyle w:val="Enfasigrassetto"/>
          <w:rFonts w:ascii="Times New Roman" w:hAnsi="Times New Roman" w:cs="Times New Roman"/>
          <w:b w:val="0"/>
          <w:sz w:val="16"/>
          <w:szCs w:val="16"/>
        </w:rPr>
        <w:t>idoneità o sufficienza della clausola di pagamento a prima o semplice richiesta ( o senza eccezioni )</w:t>
      </w:r>
      <w:r w:rsidR="00352C4C">
        <w:rPr>
          <w:rStyle w:val="Enfasigrassetto"/>
          <w:rFonts w:ascii="Times New Roman" w:hAnsi="Times New Roman" w:cs="Times New Roman"/>
          <w:b w:val="0"/>
          <w:sz w:val="16"/>
          <w:szCs w:val="16"/>
        </w:rPr>
        <w:t>,</w:t>
      </w:r>
      <w:r w:rsidRPr="00D615DE">
        <w:rPr>
          <w:rStyle w:val="Enfasigrassetto"/>
          <w:rFonts w:ascii="Times New Roman" w:hAnsi="Times New Roman" w:cs="Times New Roman"/>
          <w:b w:val="0"/>
          <w:sz w:val="16"/>
          <w:szCs w:val="16"/>
        </w:rPr>
        <w:t xml:space="preserve"> a trasformare un contratto di fideiussione ( pur atipico ) in un contratto autonomo di garanzia: secondo un ori</w:t>
      </w:r>
      <w:r w:rsidR="00352C4C">
        <w:rPr>
          <w:rStyle w:val="Enfasigrassetto"/>
          <w:rFonts w:ascii="Times New Roman" w:hAnsi="Times New Roman" w:cs="Times New Roman"/>
          <w:b w:val="0"/>
          <w:sz w:val="16"/>
          <w:szCs w:val="16"/>
        </w:rPr>
        <w:t>entamento  giurisprudenziale l’</w:t>
      </w:r>
      <w:r w:rsidRPr="00D615DE">
        <w:rPr>
          <w:rStyle w:val="Enfasigrassetto"/>
          <w:rFonts w:ascii="Times New Roman" w:hAnsi="Times New Roman" w:cs="Times New Roman"/>
          <w:b w:val="0"/>
          <w:sz w:val="16"/>
          <w:szCs w:val="16"/>
        </w:rPr>
        <w:t>inserimento di clausole di</w:t>
      </w:r>
      <w:r w:rsidR="00352C4C">
        <w:rPr>
          <w:rStyle w:val="Enfasigrassetto"/>
          <w:rFonts w:ascii="Times New Roman" w:hAnsi="Times New Roman" w:cs="Times New Roman"/>
          <w:b w:val="0"/>
          <w:sz w:val="16"/>
          <w:szCs w:val="16"/>
        </w:rPr>
        <w:t xml:space="preserve"> pagamento di tal genere varrebbero</w:t>
      </w:r>
      <w:r w:rsidRPr="00D615DE">
        <w:rPr>
          <w:rStyle w:val="Enfasigrassetto"/>
          <w:rFonts w:ascii="Times New Roman" w:hAnsi="Times New Roman" w:cs="Times New Roman"/>
          <w:b w:val="0"/>
          <w:sz w:val="16"/>
          <w:szCs w:val="16"/>
        </w:rPr>
        <w:t xml:space="preserve"> di per sé qualificare il  negozio come contratto autonomo di garanzia , essendo incompatibile con il principio di </w:t>
      </w:r>
      <w:r>
        <w:rPr>
          <w:rStyle w:val="Enfasigrassetto"/>
          <w:rFonts w:ascii="Times New Roman" w:hAnsi="Times New Roman" w:cs="Times New Roman"/>
          <w:b w:val="0"/>
          <w:sz w:val="16"/>
          <w:szCs w:val="16"/>
        </w:rPr>
        <w:t xml:space="preserve"> </w:t>
      </w:r>
      <w:r w:rsidRPr="00D615DE">
        <w:rPr>
          <w:rStyle w:val="Enfasigrassetto"/>
          <w:rFonts w:ascii="Times New Roman" w:hAnsi="Times New Roman" w:cs="Times New Roman"/>
          <w:b w:val="0"/>
          <w:sz w:val="16"/>
          <w:szCs w:val="16"/>
        </w:rPr>
        <w:t>accessorietà che caratterizza la fideiussione (</w:t>
      </w:r>
      <w:proofErr w:type="spellStart"/>
      <w:r w:rsidRPr="00D615DE">
        <w:rPr>
          <w:rStyle w:val="Enfasigrassetto"/>
          <w:rFonts w:ascii="Times New Roman" w:hAnsi="Times New Roman" w:cs="Times New Roman"/>
          <w:b w:val="0"/>
          <w:sz w:val="16"/>
          <w:szCs w:val="16"/>
        </w:rPr>
        <w:t>Cass</w:t>
      </w:r>
      <w:proofErr w:type="spellEnd"/>
      <w:r w:rsidRPr="00D615DE">
        <w:rPr>
          <w:rStyle w:val="Enfasigrassetto"/>
          <w:rFonts w:ascii="Times New Roman" w:hAnsi="Times New Roman" w:cs="Times New Roman"/>
          <w:b w:val="0"/>
          <w:sz w:val="16"/>
          <w:szCs w:val="16"/>
        </w:rPr>
        <w:t xml:space="preserve">. civ., sez. I, 28.10.2010, n. 22107; </w:t>
      </w:r>
      <w:r>
        <w:rPr>
          <w:rStyle w:val="Enfasigrassetto"/>
          <w:rFonts w:ascii="Times New Roman" w:hAnsi="Times New Roman" w:cs="Times New Roman"/>
          <w:b w:val="0"/>
          <w:sz w:val="16"/>
          <w:szCs w:val="16"/>
        </w:rPr>
        <w:t xml:space="preserve"> </w:t>
      </w:r>
      <w:proofErr w:type="spellStart"/>
      <w:r w:rsidRPr="00D615DE">
        <w:rPr>
          <w:rStyle w:val="Enfasigrassetto"/>
          <w:rFonts w:ascii="Times New Roman" w:hAnsi="Times New Roman" w:cs="Times New Roman"/>
          <w:b w:val="0"/>
          <w:sz w:val="16"/>
          <w:szCs w:val="16"/>
        </w:rPr>
        <w:t>Cass</w:t>
      </w:r>
      <w:proofErr w:type="spellEnd"/>
      <w:r w:rsidRPr="00D615DE">
        <w:rPr>
          <w:rStyle w:val="Enfasigrassetto"/>
          <w:rFonts w:ascii="Times New Roman" w:hAnsi="Times New Roman" w:cs="Times New Roman"/>
          <w:b w:val="0"/>
          <w:sz w:val="16"/>
          <w:szCs w:val="16"/>
        </w:rPr>
        <w:t xml:space="preserve">. n. 3552 / 1998 ; n. 6757 / 2001; n. 3257 / 2007 cit. ; n. 14853 / 2007 ; n. 11890 / 2008;  </w:t>
      </w:r>
      <w:proofErr w:type="spellStart"/>
      <w:r w:rsidRPr="00D615DE">
        <w:rPr>
          <w:rStyle w:val="Enfasigrassetto"/>
          <w:rFonts w:ascii="Times New Roman" w:hAnsi="Times New Roman" w:cs="Times New Roman"/>
          <w:b w:val="0"/>
          <w:sz w:val="16"/>
          <w:szCs w:val="16"/>
        </w:rPr>
        <w:t>Cass</w:t>
      </w:r>
      <w:proofErr w:type="spellEnd"/>
      <w:r w:rsidRPr="00D615DE">
        <w:rPr>
          <w:rStyle w:val="Enfasigrassetto"/>
          <w:rFonts w:ascii="Times New Roman" w:hAnsi="Times New Roman" w:cs="Times New Roman"/>
          <w:b w:val="0"/>
          <w:sz w:val="16"/>
          <w:szCs w:val="16"/>
        </w:rPr>
        <w:t>. n. 14853/ 2007 ; n. 11890 / 2008</w:t>
      </w:r>
      <w:r w:rsidR="00352C4C">
        <w:rPr>
          <w:rStyle w:val="Enfasigrassetto"/>
          <w:rFonts w:ascii="Times New Roman" w:hAnsi="Times New Roman" w:cs="Times New Roman"/>
          <w:b w:val="0"/>
          <w:sz w:val="16"/>
          <w:szCs w:val="16"/>
        </w:rPr>
        <w:t>)</w:t>
      </w:r>
      <w:r w:rsidRPr="00D615DE">
        <w:rPr>
          <w:rStyle w:val="Enfasigrassetto"/>
          <w:rFonts w:ascii="Times New Roman" w:hAnsi="Times New Roman" w:cs="Times New Roman"/>
          <w:b w:val="0"/>
          <w:sz w:val="16"/>
          <w:szCs w:val="16"/>
        </w:rPr>
        <w:t xml:space="preserve"> ;  un secondo filone interpretativo riteneva</w:t>
      </w:r>
      <w:r w:rsidR="00352C4C">
        <w:rPr>
          <w:rStyle w:val="Enfasigrassetto"/>
          <w:rFonts w:ascii="Times New Roman" w:hAnsi="Times New Roman" w:cs="Times New Roman"/>
          <w:b w:val="0"/>
          <w:sz w:val="16"/>
          <w:szCs w:val="16"/>
        </w:rPr>
        <w:t>,</w:t>
      </w:r>
      <w:r w:rsidRPr="00D615DE">
        <w:rPr>
          <w:rStyle w:val="Enfasigrassetto"/>
          <w:rFonts w:ascii="Times New Roman" w:hAnsi="Times New Roman" w:cs="Times New Roman"/>
          <w:b w:val="0"/>
          <w:sz w:val="16"/>
          <w:szCs w:val="16"/>
        </w:rPr>
        <w:t xml:space="preserve"> invece</w:t>
      </w:r>
      <w:r w:rsidR="00352C4C">
        <w:rPr>
          <w:rStyle w:val="Enfasigrassetto"/>
          <w:rFonts w:ascii="Times New Roman" w:hAnsi="Times New Roman" w:cs="Times New Roman"/>
          <w:b w:val="0"/>
          <w:sz w:val="16"/>
          <w:szCs w:val="16"/>
        </w:rPr>
        <w:t>, che il contratto non assuma</w:t>
      </w:r>
      <w:r w:rsidRPr="00D615DE">
        <w:rPr>
          <w:rStyle w:val="Enfasigrassetto"/>
          <w:rFonts w:ascii="Times New Roman" w:hAnsi="Times New Roman" w:cs="Times New Roman"/>
          <w:b w:val="0"/>
          <w:sz w:val="16"/>
          <w:szCs w:val="16"/>
        </w:rPr>
        <w:t xml:space="preserve"> i connotati del contratto autonomo di garanzia per il solo fatto di presentare un patto c</w:t>
      </w:r>
      <w:r w:rsidR="00352C4C">
        <w:rPr>
          <w:rStyle w:val="Enfasigrassetto"/>
          <w:rFonts w:ascii="Times New Roman" w:hAnsi="Times New Roman" w:cs="Times New Roman"/>
          <w:b w:val="0"/>
          <w:sz w:val="16"/>
          <w:szCs w:val="16"/>
        </w:rPr>
        <w:t>he obblighi il garante a pagare</w:t>
      </w:r>
      <w:r w:rsidRPr="00D615DE">
        <w:rPr>
          <w:rStyle w:val="Enfasigrassetto"/>
          <w:rFonts w:ascii="Times New Roman" w:hAnsi="Times New Roman" w:cs="Times New Roman"/>
          <w:b w:val="0"/>
          <w:sz w:val="16"/>
          <w:szCs w:val="16"/>
        </w:rPr>
        <w:t>, sulla richiesta del beneficiario , il quale gli dichiari essersi verificati i presupposti per l’ esigibilità della garanzia , e senza poter opporre eccezion</w:t>
      </w:r>
      <w:r w:rsidR="00352C4C">
        <w:rPr>
          <w:rStyle w:val="Enfasigrassetto"/>
          <w:rFonts w:ascii="Times New Roman" w:hAnsi="Times New Roman" w:cs="Times New Roman"/>
          <w:b w:val="0"/>
          <w:sz w:val="16"/>
          <w:szCs w:val="16"/>
        </w:rPr>
        <w:t>i attinenti al rapporto di base</w:t>
      </w:r>
      <w:r w:rsidRPr="00D615DE">
        <w:rPr>
          <w:rStyle w:val="Enfasigrassetto"/>
          <w:rFonts w:ascii="Times New Roman" w:hAnsi="Times New Roman" w:cs="Times New Roman"/>
          <w:b w:val="0"/>
          <w:sz w:val="16"/>
          <w:szCs w:val="16"/>
        </w:rPr>
        <w:t xml:space="preserve">: la distinzione tra </w:t>
      </w:r>
      <w:r>
        <w:rPr>
          <w:rStyle w:val="Enfasigrassetto"/>
          <w:rFonts w:ascii="Times New Roman" w:hAnsi="Times New Roman" w:cs="Times New Roman"/>
          <w:b w:val="0"/>
          <w:sz w:val="16"/>
          <w:szCs w:val="16"/>
        </w:rPr>
        <w:t xml:space="preserve"> </w:t>
      </w:r>
      <w:r w:rsidRPr="00D615DE">
        <w:rPr>
          <w:rStyle w:val="Enfasigrassetto"/>
          <w:rFonts w:ascii="Times New Roman" w:hAnsi="Times New Roman" w:cs="Times New Roman"/>
          <w:b w:val="0"/>
          <w:sz w:val="16"/>
          <w:szCs w:val="16"/>
        </w:rPr>
        <w:t xml:space="preserve">fideiussione e </w:t>
      </w:r>
      <w:proofErr w:type="spellStart"/>
      <w:r w:rsidR="00352C4C">
        <w:rPr>
          <w:rStyle w:val="Enfasigrassetto"/>
          <w:rFonts w:ascii="Times New Roman" w:hAnsi="Times New Roman" w:cs="Times New Roman"/>
          <w:b w:val="0"/>
          <w:sz w:val="16"/>
          <w:szCs w:val="16"/>
        </w:rPr>
        <w:t>Garantievretrag</w:t>
      </w:r>
      <w:proofErr w:type="spellEnd"/>
      <w:r w:rsidR="00352C4C">
        <w:rPr>
          <w:rStyle w:val="Enfasigrassetto"/>
          <w:rFonts w:ascii="Times New Roman" w:hAnsi="Times New Roman" w:cs="Times New Roman"/>
          <w:b w:val="0"/>
          <w:sz w:val="16"/>
          <w:szCs w:val="16"/>
        </w:rPr>
        <w:t xml:space="preserve"> andrebbe tratta, infatti</w:t>
      </w:r>
      <w:r w:rsidRPr="00D615DE">
        <w:rPr>
          <w:rStyle w:val="Enfasigrassetto"/>
          <w:rFonts w:ascii="Times New Roman" w:hAnsi="Times New Roman" w:cs="Times New Roman"/>
          <w:b w:val="0"/>
          <w:sz w:val="16"/>
          <w:szCs w:val="16"/>
        </w:rPr>
        <w:t xml:space="preserve">, anche dalla considerazione dei profili </w:t>
      </w:r>
      <w:r>
        <w:rPr>
          <w:rStyle w:val="Enfasigrassetto"/>
          <w:rFonts w:ascii="Times New Roman" w:hAnsi="Times New Roman" w:cs="Times New Roman"/>
          <w:b w:val="0"/>
          <w:sz w:val="16"/>
          <w:szCs w:val="16"/>
        </w:rPr>
        <w:t xml:space="preserve"> </w:t>
      </w:r>
      <w:r w:rsidRPr="00D615DE">
        <w:rPr>
          <w:rStyle w:val="Enfasigrassetto"/>
          <w:rFonts w:ascii="Times New Roman" w:hAnsi="Times New Roman" w:cs="Times New Roman"/>
          <w:b w:val="0"/>
          <w:sz w:val="16"/>
          <w:szCs w:val="16"/>
        </w:rPr>
        <w:t xml:space="preserve">funzionali della garanzia , e nel secondo caso la funzione sarebbe non già quella di garantire l’ </w:t>
      </w:r>
      <w:r>
        <w:rPr>
          <w:rStyle w:val="Enfasigrassetto"/>
          <w:rFonts w:ascii="Times New Roman" w:hAnsi="Times New Roman" w:cs="Times New Roman"/>
          <w:b w:val="0"/>
          <w:sz w:val="16"/>
          <w:szCs w:val="16"/>
        </w:rPr>
        <w:t xml:space="preserve"> </w:t>
      </w:r>
      <w:r w:rsidRPr="00D615DE">
        <w:rPr>
          <w:rStyle w:val="Enfasigrassetto"/>
          <w:rFonts w:ascii="Times New Roman" w:hAnsi="Times New Roman" w:cs="Times New Roman"/>
          <w:b w:val="0"/>
          <w:sz w:val="16"/>
          <w:szCs w:val="16"/>
        </w:rPr>
        <w:t xml:space="preserve">adempimento dell’ obbligazione altrui o l’ integrale soddisfacimento della pretesa risarcitoria traente </w:t>
      </w:r>
      <w:r>
        <w:rPr>
          <w:rStyle w:val="Enfasigrassetto"/>
          <w:rFonts w:ascii="Times New Roman" w:hAnsi="Times New Roman" w:cs="Times New Roman"/>
          <w:b w:val="0"/>
          <w:sz w:val="16"/>
          <w:szCs w:val="16"/>
        </w:rPr>
        <w:t xml:space="preserve"> </w:t>
      </w:r>
      <w:r w:rsidRPr="00D615DE">
        <w:rPr>
          <w:rStyle w:val="Enfasigrassetto"/>
          <w:rFonts w:ascii="Times New Roman" w:hAnsi="Times New Roman" w:cs="Times New Roman"/>
          <w:b w:val="0"/>
          <w:sz w:val="16"/>
          <w:szCs w:val="16"/>
        </w:rPr>
        <w:t xml:space="preserve">origine dall’ inadempimento del debitore , quanto quella , prossima a quella della cauzione , di </w:t>
      </w:r>
      <w:r>
        <w:rPr>
          <w:rStyle w:val="Enfasigrassetto"/>
          <w:rFonts w:ascii="Times New Roman" w:hAnsi="Times New Roman" w:cs="Times New Roman"/>
          <w:b w:val="0"/>
          <w:sz w:val="16"/>
          <w:szCs w:val="16"/>
        </w:rPr>
        <w:t xml:space="preserve"> </w:t>
      </w:r>
      <w:r w:rsidRPr="00D615DE">
        <w:rPr>
          <w:rStyle w:val="Enfasigrassetto"/>
          <w:rFonts w:ascii="Times New Roman" w:hAnsi="Times New Roman" w:cs="Times New Roman"/>
          <w:b w:val="0"/>
          <w:sz w:val="16"/>
          <w:szCs w:val="16"/>
        </w:rPr>
        <w:t>assicurare</w:t>
      </w:r>
      <w:r w:rsidR="00352C4C">
        <w:rPr>
          <w:rStyle w:val="Enfasigrassetto"/>
          <w:rFonts w:ascii="Times New Roman" w:hAnsi="Times New Roman" w:cs="Times New Roman"/>
          <w:b w:val="0"/>
          <w:sz w:val="16"/>
          <w:szCs w:val="16"/>
        </w:rPr>
        <w:t xml:space="preserve"> al beneficiario la disponibilità</w:t>
      </w:r>
      <w:r w:rsidRPr="00D615DE">
        <w:rPr>
          <w:rStyle w:val="Enfasigrassetto"/>
          <w:rFonts w:ascii="Times New Roman" w:hAnsi="Times New Roman" w:cs="Times New Roman"/>
          <w:b w:val="0"/>
          <w:sz w:val="16"/>
          <w:szCs w:val="16"/>
        </w:rPr>
        <w:t xml:space="preserve"> almeno di </w:t>
      </w:r>
      <w:r w:rsidR="00352C4C">
        <w:rPr>
          <w:rStyle w:val="Enfasigrassetto"/>
          <w:rFonts w:ascii="Times New Roman" w:hAnsi="Times New Roman" w:cs="Times New Roman"/>
          <w:b w:val="0"/>
          <w:sz w:val="16"/>
          <w:szCs w:val="16"/>
        </w:rPr>
        <w:t>una determinata somma di danaro</w:t>
      </w:r>
      <w:r w:rsidRPr="00D615DE">
        <w:rPr>
          <w:rStyle w:val="Enfasigrassetto"/>
          <w:rFonts w:ascii="Times New Roman" w:hAnsi="Times New Roman" w:cs="Times New Roman"/>
          <w:b w:val="0"/>
          <w:sz w:val="16"/>
          <w:szCs w:val="16"/>
        </w:rPr>
        <w:t xml:space="preserve">, a </w:t>
      </w:r>
      <w:r>
        <w:rPr>
          <w:rStyle w:val="Enfasigrassetto"/>
          <w:rFonts w:ascii="Times New Roman" w:hAnsi="Times New Roman" w:cs="Times New Roman"/>
          <w:b w:val="0"/>
          <w:sz w:val="16"/>
          <w:szCs w:val="16"/>
        </w:rPr>
        <w:t xml:space="preserve"> </w:t>
      </w:r>
      <w:r w:rsidRPr="00D615DE">
        <w:rPr>
          <w:rStyle w:val="Enfasigrassetto"/>
          <w:rFonts w:ascii="Times New Roman" w:hAnsi="Times New Roman" w:cs="Times New Roman"/>
          <w:b w:val="0"/>
          <w:sz w:val="16"/>
          <w:szCs w:val="16"/>
        </w:rPr>
        <w:t xml:space="preserve">bilanciamento di rischi tipici di determinati contratti . Un patto di rinunzia del fideiussore a far valere </w:t>
      </w:r>
      <w:r>
        <w:rPr>
          <w:rStyle w:val="Enfasigrassetto"/>
          <w:rFonts w:ascii="Times New Roman" w:hAnsi="Times New Roman" w:cs="Times New Roman"/>
          <w:b w:val="0"/>
          <w:sz w:val="16"/>
          <w:szCs w:val="16"/>
        </w:rPr>
        <w:t xml:space="preserve"> </w:t>
      </w:r>
      <w:r w:rsidRPr="00D615DE">
        <w:rPr>
          <w:rStyle w:val="Enfasigrassetto"/>
          <w:rFonts w:ascii="Times New Roman" w:hAnsi="Times New Roman" w:cs="Times New Roman"/>
          <w:b w:val="0"/>
          <w:sz w:val="16"/>
          <w:szCs w:val="16"/>
        </w:rPr>
        <w:t>subito determinate eccezioni non altererebbe , peraltro , il tipo contratt</w:t>
      </w:r>
      <w:r>
        <w:rPr>
          <w:rStyle w:val="Enfasigrassetto"/>
          <w:rFonts w:ascii="Times New Roman" w:hAnsi="Times New Roman" w:cs="Times New Roman"/>
          <w:b w:val="0"/>
          <w:sz w:val="16"/>
          <w:szCs w:val="16"/>
        </w:rPr>
        <w:t>uale , che resta caratterizzato</w:t>
      </w:r>
      <w:r w:rsidRPr="00D615DE">
        <w:rPr>
          <w:rStyle w:val="Enfasigrassetto"/>
          <w:rFonts w:ascii="Times New Roman" w:hAnsi="Times New Roman" w:cs="Times New Roman"/>
          <w:b w:val="0"/>
          <w:sz w:val="16"/>
          <w:szCs w:val="16"/>
        </w:rPr>
        <w:t xml:space="preserve">, </w:t>
      </w:r>
      <w:r>
        <w:rPr>
          <w:rStyle w:val="Enfasigrassetto"/>
          <w:rFonts w:ascii="Times New Roman" w:hAnsi="Times New Roman" w:cs="Times New Roman"/>
          <w:b w:val="0"/>
          <w:sz w:val="16"/>
          <w:szCs w:val="16"/>
        </w:rPr>
        <w:t xml:space="preserve"> </w:t>
      </w:r>
      <w:r w:rsidRPr="00D615DE">
        <w:rPr>
          <w:rStyle w:val="Enfasigrassetto"/>
          <w:rFonts w:ascii="Times New Roman" w:hAnsi="Times New Roman" w:cs="Times New Roman"/>
          <w:b w:val="0"/>
          <w:sz w:val="16"/>
          <w:szCs w:val="16"/>
        </w:rPr>
        <w:t xml:space="preserve">come la fideiussione , dal principio di accessorietà  ( così </w:t>
      </w:r>
      <w:proofErr w:type="spellStart"/>
      <w:r w:rsidRPr="00D615DE">
        <w:rPr>
          <w:rStyle w:val="Enfasigrassetto"/>
          <w:rFonts w:ascii="Times New Roman" w:hAnsi="Times New Roman" w:cs="Times New Roman"/>
          <w:b w:val="0"/>
          <w:sz w:val="16"/>
          <w:szCs w:val="16"/>
        </w:rPr>
        <w:t>Cass</w:t>
      </w:r>
      <w:proofErr w:type="spellEnd"/>
      <w:r w:rsidRPr="00D615DE">
        <w:rPr>
          <w:rStyle w:val="Enfasigrassetto"/>
          <w:rFonts w:ascii="Times New Roman" w:hAnsi="Times New Roman" w:cs="Times New Roman"/>
          <w:b w:val="0"/>
          <w:sz w:val="16"/>
          <w:szCs w:val="16"/>
        </w:rPr>
        <w:t xml:space="preserve">. n. 5044 / 2009; </w:t>
      </w:r>
      <w:proofErr w:type="spellStart"/>
      <w:r w:rsidRPr="00D615DE">
        <w:rPr>
          <w:rStyle w:val="Enfasigrassetto"/>
          <w:rFonts w:ascii="Times New Roman" w:hAnsi="Times New Roman" w:cs="Times New Roman"/>
          <w:b w:val="0"/>
          <w:sz w:val="16"/>
          <w:szCs w:val="16"/>
        </w:rPr>
        <w:t>Cass</w:t>
      </w:r>
      <w:proofErr w:type="spellEnd"/>
      <w:r w:rsidRPr="00D615DE">
        <w:rPr>
          <w:rStyle w:val="Enfasigrassetto"/>
          <w:rFonts w:ascii="Times New Roman" w:hAnsi="Times New Roman" w:cs="Times New Roman"/>
          <w:b w:val="0"/>
          <w:sz w:val="16"/>
          <w:szCs w:val="16"/>
        </w:rPr>
        <w:t>. n. 2909 / 1996) . Le sezioni unite,  vertendo il contrasto sorto, h</w:t>
      </w:r>
      <w:r w:rsidR="000808A4">
        <w:rPr>
          <w:rStyle w:val="Enfasigrassetto"/>
          <w:rFonts w:ascii="Times New Roman" w:hAnsi="Times New Roman" w:cs="Times New Roman"/>
          <w:b w:val="0"/>
          <w:sz w:val="16"/>
          <w:szCs w:val="16"/>
        </w:rPr>
        <w:t>anno</w:t>
      </w:r>
      <w:r w:rsidRPr="00D615DE">
        <w:rPr>
          <w:rStyle w:val="Enfasigrassetto"/>
          <w:rFonts w:ascii="Times New Roman" w:hAnsi="Times New Roman" w:cs="Times New Roman"/>
          <w:b w:val="0"/>
          <w:sz w:val="16"/>
          <w:szCs w:val="16"/>
        </w:rPr>
        <w:t xml:space="preserve"> ritenuto condivisibile il primo degli orientamenti citati, in quanto avrebbe l’ineliminabile pregio di consentire , ex ante , la necessaria prevedibilità della decisione giudiziaria in caso di controversia , </w:t>
      </w:r>
      <w:r w:rsidRPr="000808A4">
        <w:rPr>
          <w:rStyle w:val="Enfasigrassetto"/>
          <w:rFonts w:ascii="Times New Roman" w:hAnsi="Times New Roman" w:cs="Times New Roman"/>
          <w:b w:val="0"/>
          <w:i/>
          <w:sz w:val="16"/>
          <w:szCs w:val="16"/>
        </w:rPr>
        <w:t xml:space="preserve">“restringendo le maglie di aleatori spazi ermeneutici sovente forieri di poco comprensibili disparità di decisioni a parità di situazioni esaminate , così che la clausola “ a prima  richiesta e senza eccezioni “ dovrebbe di per sé orientare l’ interprete verso l’ approdo alla autonoma fattispecie del </w:t>
      </w:r>
      <w:proofErr w:type="spellStart"/>
      <w:r w:rsidRPr="000808A4">
        <w:rPr>
          <w:rStyle w:val="Enfasigrassetto"/>
          <w:rFonts w:ascii="Times New Roman" w:hAnsi="Times New Roman" w:cs="Times New Roman"/>
          <w:b w:val="0"/>
          <w:i/>
          <w:sz w:val="16"/>
          <w:szCs w:val="16"/>
        </w:rPr>
        <w:t>Garantievertrag</w:t>
      </w:r>
      <w:proofErr w:type="spellEnd"/>
      <w:r w:rsidRPr="000808A4">
        <w:rPr>
          <w:rStyle w:val="Enfasigrassetto"/>
          <w:rFonts w:ascii="Times New Roman" w:hAnsi="Times New Roman" w:cs="Times New Roman"/>
          <w:b w:val="0"/>
          <w:i/>
          <w:sz w:val="16"/>
          <w:szCs w:val="16"/>
        </w:rPr>
        <w:t xml:space="preserve"> , salva evidente , patente , irredimibile discrasia con l’ intero contenuto “ altro “ della convenzione negoziale</w:t>
      </w:r>
      <w:r w:rsidRPr="00D615DE">
        <w:rPr>
          <w:rStyle w:val="Enfasigrassetto"/>
          <w:rFonts w:ascii="Times New Roman" w:hAnsi="Times New Roman" w:cs="Times New Roman"/>
          <w:b w:val="0"/>
          <w:sz w:val="16"/>
          <w:szCs w:val="16"/>
        </w:rPr>
        <w:t>” (</w:t>
      </w:r>
      <w:proofErr w:type="spellStart"/>
      <w:r w:rsidRPr="00D615DE">
        <w:rPr>
          <w:rStyle w:val="Enfasigrassetto"/>
          <w:rFonts w:ascii="Times New Roman" w:hAnsi="Times New Roman" w:cs="Times New Roman"/>
          <w:b w:val="0"/>
          <w:sz w:val="16"/>
          <w:szCs w:val="16"/>
        </w:rPr>
        <w:t>Cass</w:t>
      </w:r>
      <w:proofErr w:type="spellEnd"/>
      <w:r w:rsidRPr="00D615DE">
        <w:rPr>
          <w:rStyle w:val="Enfasigrassetto"/>
          <w:rFonts w:ascii="Times New Roman" w:hAnsi="Times New Roman" w:cs="Times New Roman"/>
          <w:b w:val="0"/>
          <w:sz w:val="16"/>
          <w:szCs w:val="16"/>
        </w:rPr>
        <w:t>., sez. un., 18 febbraio 2010 n. 3947)</w:t>
      </w:r>
      <w:r>
        <w:rPr>
          <w:rStyle w:val="Enfasigrassetto"/>
          <w:rFonts w:ascii="Times New Roman" w:hAnsi="Times New Roman" w:cs="Times New Roman"/>
          <w:b w:val="0"/>
          <w:sz w:val="16"/>
          <w:szCs w:val="16"/>
        </w:rPr>
        <w:t>.</w:t>
      </w:r>
    </w:p>
  </w:footnote>
  <w:footnote w:id="6">
    <w:p w:rsidR="00DF4F69" w:rsidRPr="00DF4F69" w:rsidRDefault="00DF4F69" w:rsidP="00DF4F69">
      <w:pPr>
        <w:pStyle w:val="Nessunaspaziatura"/>
        <w:spacing w:line="360" w:lineRule="auto"/>
        <w:jc w:val="both"/>
        <w:rPr>
          <w:rStyle w:val="Enfasigrassetto"/>
          <w:rFonts w:ascii="Times New Roman" w:hAnsi="Times New Roman" w:cs="Times New Roman"/>
          <w:b w:val="0"/>
          <w:sz w:val="16"/>
          <w:szCs w:val="16"/>
        </w:rPr>
      </w:pPr>
      <w:r>
        <w:rPr>
          <w:rStyle w:val="Rimandonotaapidipagina"/>
        </w:rPr>
        <w:footnoteRef/>
      </w:r>
      <w:r>
        <w:t xml:space="preserve"> </w:t>
      </w:r>
      <w:r w:rsidRPr="00DF4F69">
        <w:rPr>
          <w:rStyle w:val="Enfasigrassetto"/>
          <w:rFonts w:ascii="Times New Roman" w:hAnsi="Times New Roman" w:cs="Times New Roman"/>
          <w:b w:val="0"/>
          <w:sz w:val="16"/>
          <w:szCs w:val="16"/>
        </w:rPr>
        <w:t>Riguardo al possesso della certificazione di qualità in capo alle associazioni temporanee di imprese, è noto, in proposito, il consolidato orientamento giurisprudenziale secondo cui la certificazione</w:t>
      </w:r>
      <w:r>
        <w:rPr>
          <w:rStyle w:val="Enfasigrassetto"/>
          <w:rFonts w:ascii="Times New Roman" w:hAnsi="Times New Roman" w:cs="Times New Roman"/>
          <w:b w:val="0"/>
          <w:sz w:val="16"/>
          <w:szCs w:val="16"/>
        </w:rPr>
        <w:t xml:space="preserve"> </w:t>
      </w:r>
      <w:r w:rsidR="00D22ED8">
        <w:rPr>
          <w:rStyle w:val="Enfasigrassetto"/>
          <w:rFonts w:ascii="Times New Roman" w:hAnsi="Times New Roman" w:cs="Times New Roman"/>
          <w:b w:val="0"/>
          <w:sz w:val="16"/>
          <w:szCs w:val="16"/>
        </w:rPr>
        <w:t>di qualità debba</w:t>
      </w:r>
      <w:r w:rsidRPr="00DF4F69">
        <w:rPr>
          <w:rStyle w:val="Enfasigrassetto"/>
          <w:rFonts w:ascii="Times New Roman" w:hAnsi="Times New Roman" w:cs="Times New Roman"/>
          <w:b w:val="0"/>
          <w:sz w:val="16"/>
          <w:szCs w:val="16"/>
        </w:rPr>
        <w:t xml:space="preserve"> essere posseduta singolarmente da ciascuna delle imprese associate, a meno che non</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risulti che essa sia incontestabilmente riferita solo a una parte delle prestazioni, eseguibili solta</w:t>
      </w:r>
      <w:r w:rsidR="00D22ED8">
        <w:rPr>
          <w:rStyle w:val="Enfasigrassetto"/>
          <w:rFonts w:ascii="Times New Roman" w:hAnsi="Times New Roman" w:cs="Times New Roman"/>
          <w:b w:val="0"/>
          <w:sz w:val="16"/>
          <w:szCs w:val="16"/>
        </w:rPr>
        <w:t>nto da alcune di dette imprese (</w:t>
      </w:r>
      <w:r w:rsidRPr="00DF4F69">
        <w:rPr>
          <w:rStyle w:val="Enfasigrassetto"/>
          <w:rFonts w:ascii="Times New Roman" w:hAnsi="Times New Roman" w:cs="Times New Roman"/>
          <w:b w:val="0"/>
          <w:sz w:val="16"/>
          <w:szCs w:val="16"/>
        </w:rPr>
        <w:t xml:space="preserve">Tar Sardegna Sez. I,6.04.2010 n. 665; T.A.R.  L'Aquila  sez. I 24/11/2009 n. 497;  </w:t>
      </w:r>
      <w:proofErr w:type="spellStart"/>
      <w:r w:rsidRPr="00DF4F69">
        <w:rPr>
          <w:rStyle w:val="Enfasigrassetto"/>
          <w:rFonts w:ascii="Times New Roman" w:hAnsi="Times New Roman" w:cs="Times New Roman"/>
          <w:b w:val="0"/>
          <w:sz w:val="16"/>
          <w:szCs w:val="16"/>
        </w:rPr>
        <w:t>Cons</w:t>
      </w:r>
      <w:proofErr w:type="spellEnd"/>
      <w:r w:rsidRPr="00DF4F69">
        <w:rPr>
          <w:rStyle w:val="Enfasigrassetto"/>
          <w:rFonts w:ascii="Times New Roman" w:hAnsi="Times New Roman" w:cs="Times New Roman"/>
          <w:b w:val="0"/>
          <w:sz w:val="16"/>
          <w:szCs w:val="16"/>
        </w:rPr>
        <w:t xml:space="preserve">. Stato, Sez. V, </w:t>
      </w:r>
      <w:proofErr w:type="spellStart"/>
      <w:r w:rsidRPr="00DF4F69">
        <w:rPr>
          <w:rStyle w:val="Enfasigrassetto"/>
          <w:rFonts w:ascii="Times New Roman" w:hAnsi="Times New Roman" w:cs="Times New Roman"/>
          <w:b w:val="0"/>
          <w:sz w:val="16"/>
          <w:szCs w:val="16"/>
        </w:rPr>
        <w:t>sent</w:t>
      </w:r>
      <w:proofErr w:type="spellEnd"/>
      <w:r w:rsidRPr="00DF4F69">
        <w:rPr>
          <w:rStyle w:val="Enfasigrassetto"/>
          <w:rFonts w:ascii="Times New Roman" w:hAnsi="Times New Roman" w:cs="Times New Roman"/>
          <w:b w:val="0"/>
          <w:sz w:val="16"/>
          <w:szCs w:val="16"/>
        </w:rPr>
        <w:t>. n. 4668, 25.7.2006).</w:t>
      </w:r>
    </w:p>
    <w:p w:rsidR="00DF4F69" w:rsidRPr="0041313F" w:rsidRDefault="00DF4F69" w:rsidP="00DF4F69">
      <w:pPr>
        <w:pStyle w:val="Nessunaspaziatura"/>
        <w:spacing w:line="360" w:lineRule="auto"/>
        <w:jc w:val="both"/>
        <w:rPr>
          <w:rStyle w:val="Enfasigrassetto"/>
          <w:rFonts w:ascii="Times New Roman" w:hAnsi="Times New Roman" w:cs="Times New Roman"/>
          <w:b w:val="0"/>
        </w:rPr>
      </w:pPr>
    </w:p>
    <w:p w:rsidR="00DF4F69" w:rsidRDefault="00DF4F69">
      <w:pPr>
        <w:pStyle w:val="Testonotaapidipagina"/>
      </w:pPr>
    </w:p>
  </w:footnote>
  <w:footnote w:id="7">
    <w:p w:rsidR="00FC7F6A" w:rsidRPr="00DF4F69" w:rsidRDefault="00FC7F6A" w:rsidP="00FC7F6A">
      <w:pPr>
        <w:pStyle w:val="Nessunaspaziatura"/>
        <w:spacing w:line="360" w:lineRule="auto"/>
        <w:jc w:val="both"/>
        <w:rPr>
          <w:rStyle w:val="Enfasigrassetto"/>
          <w:rFonts w:ascii="Times New Roman" w:hAnsi="Times New Roman" w:cs="Times New Roman"/>
          <w:b w:val="0"/>
          <w:sz w:val="16"/>
          <w:szCs w:val="16"/>
        </w:rPr>
      </w:pPr>
      <w:r>
        <w:rPr>
          <w:rStyle w:val="Rimandonotaapidipagina"/>
        </w:rPr>
        <w:footnoteRef/>
      </w:r>
      <w:r>
        <w:t xml:space="preserve"> </w:t>
      </w:r>
      <w:r w:rsidRPr="00DF4F69">
        <w:rPr>
          <w:rStyle w:val="Enfasigrassetto"/>
          <w:rFonts w:ascii="Times New Roman" w:hAnsi="Times New Roman" w:cs="Times New Roman"/>
          <w:b w:val="0"/>
          <w:sz w:val="16"/>
          <w:szCs w:val="16"/>
        </w:rPr>
        <w:t>La sottoposizione della cessazione dell’efficacia della garanzia al suo svincolo da parte dell’amministrazione,</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se può apparire come un aggravamento del procedimento, sembra trovare giustificazione nel fatto che</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 xml:space="preserve">l’aggiudicazione provvisoria, ai sensi dell’articolo 11, comma 8 del </w:t>
      </w:r>
      <w:proofErr w:type="spellStart"/>
      <w:r w:rsidRPr="00DF4F69">
        <w:rPr>
          <w:rStyle w:val="Enfasigrassetto"/>
          <w:rFonts w:ascii="Times New Roman" w:hAnsi="Times New Roman" w:cs="Times New Roman"/>
          <w:b w:val="0"/>
          <w:sz w:val="16"/>
          <w:szCs w:val="16"/>
        </w:rPr>
        <w:t>D.Lgs.</w:t>
      </w:r>
      <w:proofErr w:type="spellEnd"/>
      <w:r w:rsidRPr="00DF4F69">
        <w:rPr>
          <w:rStyle w:val="Enfasigrassetto"/>
          <w:rFonts w:ascii="Times New Roman" w:hAnsi="Times New Roman" w:cs="Times New Roman"/>
          <w:b w:val="0"/>
          <w:sz w:val="16"/>
          <w:szCs w:val="16"/>
        </w:rPr>
        <w:t xml:space="preserve"> n. 163/2006, diviene definitiva</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ed efficace a seguito della verifica sul possesso dei requisiti, effettuata nei confronti dell’aggiudicatario e</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 xml:space="preserve">del concorrente che segue in graduatoria, secondo quanto previsto dall’articolo 48, comma 2 del </w:t>
      </w:r>
      <w:proofErr w:type="spellStart"/>
      <w:r w:rsidRPr="00DF4F69">
        <w:rPr>
          <w:rStyle w:val="Enfasigrassetto"/>
          <w:rFonts w:ascii="Times New Roman" w:hAnsi="Times New Roman" w:cs="Times New Roman"/>
          <w:b w:val="0"/>
          <w:sz w:val="16"/>
          <w:szCs w:val="16"/>
        </w:rPr>
        <w:t>D.Lgs.</w:t>
      </w:r>
      <w:proofErr w:type="spellEnd"/>
      <w:r w:rsidRPr="00DF4F69">
        <w:rPr>
          <w:rStyle w:val="Enfasigrassetto"/>
          <w:rFonts w:ascii="Times New Roman" w:hAnsi="Times New Roman" w:cs="Times New Roman"/>
          <w:b w:val="0"/>
          <w:sz w:val="16"/>
          <w:szCs w:val="16"/>
        </w:rPr>
        <w:t xml:space="preserve"> n.</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163/2006. Nel caso in cui gli stessi non forniscano la prova concernente il possesso dei requisiti, si deve</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procedere alla determinazione della nuova soglia di anomalia dell’offerta e alla conseguente eventuale nuova</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aggiudicazione. In tale evenienza, subentra la necessità del perdurare dell’efficacia della cauzione provvisoria</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presentata dai partecipanti alla gara, diversi dal primo e dal secondo in graduatoria (Autorità vigilanza, Parere</w:t>
      </w:r>
      <w:r>
        <w:rPr>
          <w:rStyle w:val="Enfasigrassetto"/>
          <w:rFonts w:ascii="Times New Roman" w:hAnsi="Times New Roman" w:cs="Times New Roman"/>
          <w:b w:val="0"/>
          <w:sz w:val="16"/>
          <w:szCs w:val="16"/>
        </w:rPr>
        <w:t xml:space="preserve"> </w:t>
      </w:r>
      <w:r w:rsidRPr="00DF4F69">
        <w:rPr>
          <w:rStyle w:val="Enfasigrassetto"/>
          <w:rFonts w:ascii="Times New Roman" w:hAnsi="Times New Roman" w:cs="Times New Roman"/>
          <w:b w:val="0"/>
          <w:sz w:val="16"/>
          <w:szCs w:val="16"/>
        </w:rPr>
        <w:t>n. 9 del 19.9.2007).</w:t>
      </w:r>
    </w:p>
    <w:p w:rsidR="00FC7F6A" w:rsidRDefault="00FC7F6A">
      <w:pPr>
        <w:pStyle w:val="Testonotaapidipagina"/>
      </w:pPr>
    </w:p>
  </w:footnote>
  <w:footnote w:id="8">
    <w:p w:rsidR="00537465" w:rsidRPr="005669BA" w:rsidRDefault="00537465" w:rsidP="00537465">
      <w:pPr>
        <w:pStyle w:val="Nessunaspaziatura"/>
        <w:spacing w:line="360" w:lineRule="auto"/>
        <w:jc w:val="both"/>
        <w:rPr>
          <w:rStyle w:val="Enfasigrassetto"/>
          <w:rFonts w:ascii="Times New Roman" w:hAnsi="Times New Roman" w:cs="Times New Roman"/>
          <w:b w:val="0"/>
          <w:sz w:val="16"/>
          <w:szCs w:val="16"/>
        </w:rPr>
      </w:pPr>
      <w:r>
        <w:rPr>
          <w:rStyle w:val="Rimandonotaapidipagina"/>
        </w:rPr>
        <w:footnoteRef/>
      </w:r>
      <w:r>
        <w:t xml:space="preserve"> </w:t>
      </w:r>
      <w:r w:rsidRPr="005669BA">
        <w:rPr>
          <w:rStyle w:val="Enfasigrassetto"/>
          <w:rFonts w:ascii="Times New Roman" w:hAnsi="Times New Roman" w:cs="Times New Roman"/>
          <w:b w:val="0"/>
          <w:sz w:val="16"/>
          <w:szCs w:val="16"/>
        </w:rPr>
        <w:t xml:space="preserve">La giurisprudenza conferma che “Non sono applicabili alle procedure in economia, e in particolare al cottimo fiduciario, le norme del Codice dei Contratti pubblici. Il cottimo fiduciario è una procedura negoziata la quale, ancorché procedimentalizzata, non esige l’osservanza di tutte le regole tipiche dell’evidenza pubblica comunitaria” (ex </w:t>
      </w:r>
      <w:proofErr w:type="spellStart"/>
      <w:r w:rsidRPr="005669BA">
        <w:rPr>
          <w:rStyle w:val="Enfasigrassetto"/>
          <w:rFonts w:ascii="Times New Roman" w:hAnsi="Times New Roman" w:cs="Times New Roman"/>
          <w:b w:val="0"/>
          <w:sz w:val="16"/>
          <w:szCs w:val="16"/>
        </w:rPr>
        <w:t>multis</w:t>
      </w:r>
      <w:proofErr w:type="spellEnd"/>
      <w:r w:rsidRPr="005669BA">
        <w:rPr>
          <w:rStyle w:val="Enfasigrassetto"/>
          <w:rFonts w:ascii="Times New Roman" w:hAnsi="Times New Roman" w:cs="Times New Roman"/>
          <w:b w:val="0"/>
          <w:sz w:val="16"/>
          <w:szCs w:val="16"/>
        </w:rPr>
        <w:t xml:space="preserve"> T.A.R.  sez. I  Firenze , Toscana 04/05/2012 n. 868)</w:t>
      </w:r>
    </w:p>
    <w:p w:rsidR="00537465" w:rsidRPr="005669BA" w:rsidRDefault="00537465" w:rsidP="00537465">
      <w:pPr>
        <w:pStyle w:val="Testonotaapidipagina"/>
        <w:rPr>
          <w:sz w:val="16"/>
          <w:szCs w:val="16"/>
        </w:rPr>
      </w:pPr>
    </w:p>
  </w:footnote>
  <w:footnote w:id="9">
    <w:p w:rsidR="00690A18" w:rsidRPr="00645EAA" w:rsidRDefault="00690A18" w:rsidP="00690A18">
      <w:pPr>
        <w:shd w:val="clear" w:color="auto" w:fill="FFFFFF"/>
        <w:spacing w:line="270" w:lineRule="atLeast"/>
        <w:ind w:right="600"/>
        <w:jc w:val="both"/>
        <w:textAlignment w:val="baseline"/>
        <w:rPr>
          <w:rFonts w:ascii="Times New Roman" w:eastAsia="Times New Roman" w:hAnsi="Times New Roman"/>
          <w:sz w:val="16"/>
          <w:szCs w:val="16"/>
          <w:lang w:eastAsia="it-IT"/>
        </w:rPr>
      </w:pPr>
      <w:r w:rsidRPr="003756E1">
        <w:rPr>
          <w:rStyle w:val="Rimandonotaapidipagina"/>
          <w:rFonts w:ascii="Times New Roman" w:hAnsi="Times New Roman"/>
          <w:sz w:val="16"/>
          <w:szCs w:val="16"/>
        </w:rPr>
        <w:footnoteRef/>
      </w:r>
      <w:r w:rsidRPr="003756E1">
        <w:rPr>
          <w:rFonts w:ascii="Times New Roman" w:hAnsi="Times New Roman"/>
          <w:sz w:val="16"/>
          <w:szCs w:val="16"/>
        </w:rPr>
        <w:t xml:space="preserve"> </w:t>
      </w:r>
      <w:r w:rsidRPr="00645EAA">
        <w:rPr>
          <w:rFonts w:ascii="Times New Roman" w:hAnsi="Times New Roman"/>
          <w:sz w:val="16"/>
          <w:szCs w:val="16"/>
        </w:rPr>
        <w:t>“</w:t>
      </w:r>
      <w:r w:rsidRPr="00645EAA">
        <w:rPr>
          <w:rFonts w:ascii="Times New Roman" w:eastAsia="Times New Roman" w:hAnsi="Times New Roman"/>
          <w:color w:val="272B33"/>
          <w:sz w:val="16"/>
          <w:szCs w:val="16"/>
          <w:lang w:eastAsia="it-IT"/>
        </w:rPr>
        <w:t>È pur vero che l'approntamento di garanzie risponde alla tutela dell'amministrazione, ma da ciò a enucleare un principio generale esportabile al di fuori della logica dei contratti pubblici il passo è lungo: le concessioni di servizi pubblici rispondono, infatti, ad una impostazione strutturale e si vorrebbe dire di politica istituzionale assai diversa da quella contrattuale, alla quale la lettura del comma 2 dell'articolo 30 implicitamente rimanda. È proprio in considerazione della diversità di funzione del contratto e della </w:t>
      </w:r>
      <w:r w:rsidRPr="00645EAA">
        <w:rPr>
          <w:rFonts w:ascii="Times New Roman" w:eastAsia="Times New Roman" w:hAnsi="Times New Roman"/>
          <w:bCs/>
          <w:sz w:val="16"/>
          <w:szCs w:val="16"/>
          <w:bdr w:val="none" w:sz="0" w:space="0" w:color="auto" w:frame="1"/>
          <w:lang w:eastAsia="it-IT"/>
        </w:rPr>
        <w:t>concessione</w:t>
      </w:r>
      <w:r w:rsidRPr="00645EAA">
        <w:rPr>
          <w:rFonts w:ascii="Times New Roman" w:eastAsia="Times New Roman" w:hAnsi="Times New Roman"/>
          <w:sz w:val="16"/>
          <w:szCs w:val="16"/>
          <w:lang w:eastAsia="it-IT"/>
        </w:rPr>
        <w:t> </w:t>
      </w:r>
      <w:r w:rsidRPr="00645EAA">
        <w:rPr>
          <w:rFonts w:ascii="Times New Roman" w:eastAsia="Times New Roman" w:hAnsi="Times New Roman"/>
          <w:color w:val="272B33"/>
          <w:sz w:val="16"/>
          <w:szCs w:val="16"/>
          <w:lang w:eastAsia="it-IT"/>
        </w:rPr>
        <w:t>che il terzo comma del citato articolo 30 ha limitato la fase di scelta del concessionario al rispetto dei principi generali tra i quali la trasparenza, l'adeguata pubblicità, la non discriminazione, la parità di trattamento, il muto riconoscimento e la proporzionalità, a nessuno dei quali si attagliano le previsioni recate nell'articolo 75 del medesimo testo”</w:t>
      </w:r>
      <w:r w:rsidRPr="00645EAA">
        <w:rPr>
          <w:rFonts w:ascii="Times New Roman" w:eastAsia="Times New Roman" w:hAnsi="Times New Roman"/>
          <w:sz w:val="16"/>
          <w:szCs w:val="16"/>
          <w:lang w:eastAsia="it-IT"/>
        </w:rPr>
        <w:t xml:space="preserve">  Consiglio di Stato  sez. V 13/07/2010 n. 4510</w:t>
      </w:r>
    </w:p>
    <w:p w:rsidR="00690A18" w:rsidRPr="003756E1" w:rsidRDefault="00690A18" w:rsidP="00690A18">
      <w:pPr>
        <w:pStyle w:val="NormaleWeb"/>
        <w:shd w:val="clear" w:color="auto" w:fill="FFFFFF"/>
        <w:spacing w:after="0" w:line="270" w:lineRule="atLeast"/>
        <w:ind w:right="300"/>
        <w:jc w:val="both"/>
        <w:textAlignment w:val="baseline"/>
        <w:rPr>
          <w:rFonts w:eastAsia="Times New Roman"/>
          <w:i/>
          <w:color w:val="272B33"/>
          <w:sz w:val="16"/>
          <w:szCs w:val="16"/>
          <w:lang w:eastAsia="it-IT"/>
        </w:rPr>
      </w:pPr>
    </w:p>
    <w:p w:rsidR="00690A18" w:rsidRPr="003756E1" w:rsidRDefault="00690A18" w:rsidP="00690A18">
      <w:pPr>
        <w:pStyle w:val="Testonotaapidipagina"/>
        <w:rPr>
          <w:rFonts w:ascii="Times New Roman" w:hAnsi="Times New Roman" w:cs="Times New Roman"/>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046"/>
    <w:multiLevelType w:val="hybridMultilevel"/>
    <w:tmpl w:val="D5444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306709"/>
    <w:multiLevelType w:val="hybridMultilevel"/>
    <w:tmpl w:val="B57CEF46"/>
    <w:lvl w:ilvl="0" w:tplc="0B7CDA1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533DF4"/>
    <w:multiLevelType w:val="hybridMultilevel"/>
    <w:tmpl w:val="E2848F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DD624EE"/>
    <w:multiLevelType w:val="hybridMultilevel"/>
    <w:tmpl w:val="3CB074D0"/>
    <w:lvl w:ilvl="0" w:tplc="A12CB9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3642E5"/>
    <w:multiLevelType w:val="hybridMultilevel"/>
    <w:tmpl w:val="2A7C2E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B43AA1"/>
    <w:multiLevelType w:val="hybridMultilevel"/>
    <w:tmpl w:val="1450871C"/>
    <w:lvl w:ilvl="0" w:tplc="45F419C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54677E"/>
    <w:multiLevelType w:val="hybridMultilevel"/>
    <w:tmpl w:val="BA7469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04F509A"/>
    <w:multiLevelType w:val="hybridMultilevel"/>
    <w:tmpl w:val="98B01C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E11AF6"/>
    <w:multiLevelType w:val="hybridMultilevel"/>
    <w:tmpl w:val="61E05B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A775829"/>
    <w:multiLevelType w:val="hybridMultilevel"/>
    <w:tmpl w:val="354A9E74"/>
    <w:lvl w:ilvl="0" w:tplc="313C4506">
      <w:start w:val="1"/>
      <w:numFmt w:val="decimal"/>
      <w:lvlText w:val="%1."/>
      <w:lvlJc w:val="left"/>
      <w:pPr>
        <w:ind w:left="720" w:hanging="360"/>
      </w:pPr>
      <w:rPr>
        <w:rFonts w:ascii="Times New Roman" w:eastAsiaTheme="minorHAnsi"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BC42DD8"/>
    <w:multiLevelType w:val="hybridMultilevel"/>
    <w:tmpl w:val="C6622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CB2C72"/>
    <w:multiLevelType w:val="hybridMultilevel"/>
    <w:tmpl w:val="B2BEA1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AF50575"/>
    <w:multiLevelType w:val="multilevel"/>
    <w:tmpl w:val="1AF0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340472"/>
    <w:multiLevelType w:val="hybridMultilevel"/>
    <w:tmpl w:val="1D76B056"/>
    <w:lvl w:ilvl="0" w:tplc="8698FEF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DD7494"/>
    <w:multiLevelType w:val="hybridMultilevel"/>
    <w:tmpl w:val="D03869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9742FC5"/>
    <w:multiLevelType w:val="hybridMultilevel"/>
    <w:tmpl w:val="C3C03762"/>
    <w:lvl w:ilvl="0" w:tplc="9584881A">
      <w:start w:val="1"/>
      <w:numFmt w:val="decimal"/>
      <w:lvlText w:val="%1."/>
      <w:lvlJc w:val="left"/>
      <w:pPr>
        <w:ind w:left="720" w:hanging="360"/>
      </w:pPr>
      <w:rPr>
        <w:rFonts w:asciiTheme="minorHAnsi" w:eastAsiaTheme="minorEastAsia" w:hAnsi="Calibri" w:cstheme="minorBidi" w:hint="default"/>
        <w:color w:val="000080"/>
        <w:sz w:val="3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9AD22E4"/>
    <w:multiLevelType w:val="hybridMultilevel"/>
    <w:tmpl w:val="B0E279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2"/>
  </w:num>
  <w:num w:numId="5">
    <w:abstractNumId w:val="16"/>
  </w:num>
  <w:num w:numId="6">
    <w:abstractNumId w:val="15"/>
  </w:num>
  <w:num w:numId="7">
    <w:abstractNumId w:val="2"/>
  </w:num>
  <w:num w:numId="8">
    <w:abstractNumId w:val="5"/>
  </w:num>
  <w:num w:numId="9">
    <w:abstractNumId w:val="14"/>
  </w:num>
  <w:num w:numId="10">
    <w:abstractNumId w:val="9"/>
  </w:num>
  <w:num w:numId="11">
    <w:abstractNumId w:val="10"/>
  </w:num>
  <w:num w:numId="12">
    <w:abstractNumId w:val="3"/>
  </w:num>
  <w:num w:numId="13">
    <w:abstractNumId w:val="7"/>
  </w:num>
  <w:num w:numId="14">
    <w:abstractNumId w:val="0"/>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80"/>
    <w:rsid w:val="00010D2F"/>
    <w:rsid w:val="00012EFA"/>
    <w:rsid w:val="00014B1E"/>
    <w:rsid w:val="00027842"/>
    <w:rsid w:val="00047D15"/>
    <w:rsid w:val="00052F84"/>
    <w:rsid w:val="000808A4"/>
    <w:rsid w:val="000852CC"/>
    <w:rsid w:val="000B45DB"/>
    <w:rsid w:val="000E43F0"/>
    <w:rsid w:val="000F31E7"/>
    <w:rsid w:val="001021CA"/>
    <w:rsid w:val="0011547E"/>
    <w:rsid w:val="00122131"/>
    <w:rsid w:val="00135A01"/>
    <w:rsid w:val="001363B6"/>
    <w:rsid w:val="001B5F97"/>
    <w:rsid w:val="001E589B"/>
    <w:rsid w:val="00220751"/>
    <w:rsid w:val="00240888"/>
    <w:rsid w:val="002416A0"/>
    <w:rsid w:val="0024274A"/>
    <w:rsid w:val="002763C3"/>
    <w:rsid w:val="00294BD7"/>
    <w:rsid w:val="002A01AB"/>
    <w:rsid w:val="002D54A8"/>
    <w:rsid w:val="002D75F6"/>
    <w:rsid w:val="002E0260"/>
    <w:rsid w:val="00304FD2"/>
    <w:rsid w:val="0031006E"/>
    <w:rsid w:val="003227D6"/>
    <w:rsid w:val="00323B61"/>
    <w:rsid w:val="00326FFC"/>
    <w:rsid w:val="00343ED2"/>
    <w:rsid w:val="00345190"/>
    <w:rsid w:val="00350C11"/>
    <w:rsid w:val="00352C4C"/>
    <w:rsid w:val="003756E1"/>
    <w:rsid w:val="00380761"/>
    <w:rsid w:val="003830CE"/>
    <w:rsid w:val="003B5B4D"/>
    <w:rsid w:val="003C66B1"/>
    <w:rsid w:val="003D5A90"/>
    <w:rsid w:val="003E58BA"/>
    <w:rsid w:val="004062E6"/>
    <w:rsid w:val="0041313F"/>
    <w:rsid w:val="00416831"/>
    <w:rsid w:val="004227B2"/>
    <w:rsid w:val="00432916"/>
    <w:rsid w:val="0044304C"/>
    <w:rsid w:val="0045347D"/>
    <w:rsid w:val="004600D5"/>
    <w:rsid w:val="00465334"/>
    <w:rsid w:val="00483477"/>
    <w:rsid w:val="004852CD"/>
    <w:rsid w:val="004B5FE4"/>
    <w:rsid w:val="004C44F1"/>
    <w:rsid w:val="004D4421"/>
    <w:rsid w:val="005011E3"/>
    <w:rsid w:val="00503617"/>
    <w:rsid w:val="00525890"/>
    <w:rsid w:val="00537465"/>
    <w:rsid w:val="0055172B"/>
    <w:rsid w:val="005547A2"/>
    <w:rsid w:val="00563DA4"/>
    <w:rsid w:val="005669BA"/>
    <w:rsid w:val="005818BA"/>
    <w:rsid w:val="0058209F"/>
    <w:rsid w:val="005D458B"/>
    <w:rsid w:val="005F5DB3"/>
    <w:rsid w:val="00645EAA"/>
    <w:rsid w:val="00647174"/>
    <w:rsid w:val="00653CFA"/>
    <w:rsid w:val="00656FE3"/>
    <w:rsid w:val="00664811"/>
    <w:rsid w:val="0066665B"/>
    <w:rsid w:val="006762FA"/>
    <w:rsid w:val="00690A18"/>
    <w:rsid w:val="006954CF"/>
    <w:rsid w:val="007068AB"/>
    <w:rsid w:val="007241D2"/>
    <w:rsid w:val="00736141"/>
    <w:rsid w:val="00736F80"/>
    <w:rsid w:val="007445E3"/>
    <w:rsid w:val="00752A74"/>
    <w:rsid w:val="007831DF"/>
    <w:rsid w:val="007A36DC"/>
    <w:rsid w:val="007A71B9"/>
    <w:rsid w:val="007B046B"/>
    <w:rsid w:val="007B3546"/>
    <w:rsid w:val="007C1C58"/>
    <w:rsid w:val="007C3284"/>
    <w:rsid w:val="007E26AE"/>
    <w:rsid w:val="007F154B"/>
    <w:rsid w:val="007F2C1C"/>
    <w:rsid w:val="007F4C1C"/>
    <w:rsid w:val="00821A7B"/>
    <w:rsid w:val="00836FA2"/>
    <w:rsid w:val="008576A4"/>
    <w:rsid w:val="00893779"/>
    <w:rsid w:val="008C4FA4"/>
    <w:rsid w:val="008F43FA"/>
    <w:rsid w:val="00900857"/>
    <w:rsid w:val="0096485E"/>
    <w:rsid w:val="00993649"/>
    <w:rsid w:val="009A250A"/>
    <w:rsid w:val="009B3BD9"/>
    <w:rsid w:val="009E0B78"/>
    <w:rsid w:val="009E1A67"/>
    <w:rsid w:val="009F632E"/>
    <w:rsid w:val="009F66C6"/>
    <w:rsid w:val="00A12D18"/>
    <w:rsid w:val="00A2128E"/>
    <w:rsid w:val="00AC181B"/>
    <w:rsid w:val="00AE2331"/>
    <w:rsid w:val="00AF274F"/>
    <w:rsid w:val="00B21684"/>
    <w:rsid w:val="00B25B40"/>
    <w:rsid w:val="00B472C8"/>
    <w:rsid w:val="00B5070E"/>
    <w:rsid w:val="00B561D8"/>
    <w:rsid w:val="00B77E8E"/>
    <w:rsid w:val="00B87DDD"/>
    <w:rsid w:val="00B97E75"/>
    <w:rsid w:val="00BA6EA1"/>
    <w:rsid w:val="00BB3002"/>
    <w:rsid w:val="00BC4FC1"/>
    <w:rsid w:val="00BE7C00"/>
    <w:rsid w:val="00C12B44"/>
    <w:rsid w:val="00C1424F"/>
    <w:rsid w:val="00C23DE6"/>
    <w:rsid w:val="00C30C79"/>
    <w:rsid w:val="00C41662"/>
    <w:rsid w:val="00C660D8"/>
    <w:rsid w:val="00C7037E"/>
    <w:rsid w:val="00C83B13"/>
    <w:rsid w:val="00CA0845"/>
    <w:rsid w:val="00CC7CB9"/>
    <w:rsid w:val="00CE6F1B"/>
    <w:rsid w:val="00CF4747"/>
    <w:rsid w:val="00CF48C2"/>
    <w:rsid w:val="00D22ED8"/>
    <w:rsid w:val="00D25653"/>
    <w:rsid w:val="00D615DE"/>
    <w:rsid w:val="00D97ED4"/>
    <w:rsid w:val="00DF4F69"/>
    <w:rsid w:val="00E06F06"/>
    <w:rsid w:val="00E53F53"/>
    <w:rsid w:val="00E86FCD"/>
    <w:rsid w:val="00E92DAB"/>
    <w:rsid w:val="00EC5DE1"/>
    <w:rsid w:val="00ED0A5A"/>
    <w:rsid w:val="00EE0E56"/>
    <w:rsid w:val="00EE1EAD"/>
    <w:rsid w:val="00F20DB2"/>
    <w:rsid w:val="00F34E55"/>
    <w:rsid w:val="00F3585C"/>
    <w:rsid w:val="00F533B3"/>
    <w:rsid w:val="00F55417"/>
    <w:rsid w:val="00F77DB7"/>
    <w:rsid w:val="00F831F6"/>
    <w:rsid w:val="00F97C89"/>
    <w:rsid w:val="00FB5FC1"/>
    <w:rsid w:val="00FC2F74"/>
    <w:rsid w:val="00FC48A0"/>
    <w:rsid w:val="00FC7F6A"/>
    <w:rsid w:val="00FE2410"/>
    <w:rsid w:val="00FE2437"/>
    <w:rsid w:val="00FE3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842"/>
    <w:rPr>
      <w:rFonts w:ascii="Calibri" w:eastAsia="Calibri" w:hAnsi="Calibri" w:cs="Times New Roman"/>
    </w:rPr>
  </w:style>
  <w:style w:type="paragraph" w:styleId="Titolo1">
    <w:name w:val="heading 1"/>
    <w:basedOn w:val="Normale"/>
    <w:next w:val="Normale"/>
    <w:link w:val="Titolo1Carattere"/>
    <w:uiPriority w:val="9"/>
    <w:qFormat/>
    <w:rsid w:val="00E8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3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86F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34E55"/>
  </w:style>
  <w:style w:type="character" w:styleId="Collegamentoipertestuale">
    <w:name w:val="Hyperlink"/>
    <w:basedOn w:val="Carpredefinitoparagrafo"/>
    <w:uiPriority w:val="99"/>
    <w:semiHidden/>
    <w:unhideWhenUsed/>
    <w:rsid w:val="00F34E55"/>
    <w:rPr>
      <w:color w:val="0000FF"/>
      <w:u w:val="single"/>
    </w:rPr>
  </w:style>
  <w:style w:type="character" w:customStyle="1" w:styleId="resultlisthighlightterm">
    <w:name w:val="resultlisthighlightterm"/>
    <w:basedOn w:val="Carpredefinitoparagrafo"/>
    <w:rsid w:val="004D4421"/>
  </w:style>
  <w:style w:type="paragraph" w:customStyle="1" w:styleId="popolo">
    <w:name w:val="popolo"/>
    <w:basedOn w:val="Normale"/>
    <w:rsid w:val="001E589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orsivo">
    <w:name w:val="corsivo"/>
    <w:basedOn w:val="Carpredefinitoparagrafo"/>
    <w:rsid w:val="00E92DAB"/>
  </w:style>
  <w:style w:type="paragraph" w:styleId="Nessunaspaziatura">
    <w:name w:val="No Spacing"/>
    <w:uiPriority w:val="1"/>
    <w:qFormat/>
    <w:rsid w:val="00E92DAB"/>
    <w:pPr>
      <w:spacing w:after="0" w:line="240" w:lineRule="auto"/>
    </w:pPr>
  </w:style>
  <w:style w:type="character" w:styleId="Enfasidelicata">
    <w:name w:val="Subtle Emphasis"/>
    <w:basedOn w:val="Carpredefinitoparagrafo"/>
    <w:uiPriority w:val="19"/>
    <w:qFormat/>
    <w:rsid w:val="00FC48A0"/>
    <w:rPr>
      <w:i/>
      <w:iCs/>
      <w:color w:val="808080" w:themeColor="text1" w:themeTint="7F"/>
    </w:rPr>
  </w:style>
  <w:style w:type="paragraph" w:styleId="Intestazione">
    <w:name w:val="header"/>
    <w:basedOn w:val="Normale"/>
    <w:link w:val="IntestazioneCarattere"/>
    <w:uiPriority w:val="99"/>
    <w:unhideWhenUsed/>
    <w:rsid w:val="009B3BD9"/>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9B3BD9"/>
  </w:style>
  <w:style w:type="paragraph" w:styleId="Pidipagina">
    <w:name w:val="footer"/>
    <w:basedOn w:val="Normale"/>
    <w:link w:val="PidipaginaCarattere"/>
    <w:uiPriority w:val="99"/>
    <w:unhideWhenUsed/>
    <w:rsid w:val="009B3BD9"/>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B3BD9"/>
  </w:style>
  <w:style w:type="paragraph" w:styleId="Testofumetto">
    <w:name w:val="Balloon Text"/>
    <w:basedOn w:val="Normale"/>
    <w:link w:val="TestofumettoCarattere"/>
    <w:uiPriority w:val="99"/>
    <w:semiHidden/>
    <w:unhideWhenUsed/>
    <w:rsid w:val="009B3B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BD9"/>
    <w:rPr>
      <w:rFonts w:ascii="Tahoma" w:hAnsi="Tahoma" w:cs="Tahoma"/>
      <w:sz w:val="16"/>
      <w:szCs w:val="16"/>
    </w:rPr>
  </w:style>
  <w:style w:type="paragraph" w:styleId="Paragrafoelenco">
    <w:name w:val="List Paragraph"/>
    <w:basedOn w:val="Normale"/>
    <w:uiPriority w:val="34"/>
    <w:qFormat/>
    <w:rsid w:val="009B3BD9"/>
    <w:pPr>
      <w:ind w:left="720"/>
      <w:contextualSpacing/>
    </w:pPr>
    <w:rPr>
      <w:rFonts w:asciiTheme="minorHAnsi" w:eastAsiaTheme="minorHAnsi" w:hAnsiTheme="minorHAnsi" w:cstheme="minorBidi"/>
    </w:rPr>
  </w:style>
  <w:style w:type="character" w:customStyle="1" w:styleId="Titolo3Carattere">
    <w:name w:val="Titolo 3 Carattere"/>
    <w:basedOn w:val="Carpredefinitoparagrafo"/>
    <w:link w:val="Titolo3"/>
    <w:uiPriority w:val="9"/>
    <w:semiHidden/>
    <w:rsid w:val="00E86FCD"/>
    <w:rPr>
      <w:rFonts w:asciiTheme="majorHAnsi" w:eastAsiaTheme="majorEastAsia" w:hAnsiTheme="majorHAnsi" w:cstheme="majorBidi"/>
      <w:b/>
      <w:bCs/>
      <w:color w:val="4F81BD" w:themeColor="accent1"/>
    </w:rPr>
  </w:style>
  <w:style w:type="character" w:customStyle="1" w:styleId="Titolo1Carattere">
    <w:name w:val="Titolo 1 Carattere"/>
    <w:basedOn w:val="Carpredefinitoparagrafo"/>
    <w:link w:val="Titolo1"/>
    <w:uiPriority w:val="9"/>
    <w:rsid w:val="00E86FCD"/>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unhideWhenUsed/>
    <w:rsid w:val="00656FE3"/>
    <w:rPr>
      <w:rFonts w:ascii="Times New Roman" w:eastAsiaTheme="minorHAnsi" w:hAnsi="Times New Roman"/>
      <w:sz w:val="24"/>
      <w:szCs w:val="24"/>
    </w:rPr>
  </w:style>
  <w:style w:type="character" w:styleId="Enfasicorsivo">
    <w:name w:val="Emphasis"/>
    <w:basedOn w:val="Carpredefinitoparagrafo"/>
    <w:uiPriority w:val="20"/>
    <w:qFormat/>
    <w:rsid w:val="003227D6"/>
    <w:rPr>
      <w:i/>
      <w:iCs/>
    </w:rPr>
  </w:style>
  <w:style w:type="character" w:styleId="Enfasigrassetto">
    <w:name w:val="Strong"/>
    <w:basedOn w:val="Carpredefinitoparagrafo"/>
    <w:uiPriority w:val="22"/>
    <w:qFormat/>
    <w:rsid w:val="005D458B"/>
    <w:rPr>
      <w:b/>
      <w:bCs/>
    </w:rPr>
  </w:style>
  <w:style w:type="character" w:customStyle="1" w:styleId="Titolo2Carattere">
    <w:name w:val="Titolo 2 Carattere"/>
    <w:basedOn w:val="Carpredefinitoparagrafo"/>
    <w:link w:val="Titolo2"/>
    <w:uiPriority w:val="9"/>
    <w:rsid w:val="00736141"/>
    <w:rPr>
      <w:rFonts w:asciiTheme="majorHAnsi" w:eastAsiaTheme="majorEastAsia" w:hAnsiTheme="majorHAnsi" w:cstheme="majorBidi"/>
      <w:b/>
      <w:bCs/>
      <w:color w:val="4F81BD" w:themeColor="accent1"/>
      <w:sz w:val="26"/>
      <w:szCs w:val="26"/>
    </w:rPr>
  </w:style>
  <w:style w:type="paragraph" w:styleId="Citazioneintensa">
    <w:name w:val="Intense Quote"/>
    <w:basedOn w:val="Normale"/>
    <w:next w:val="Normale"/>
    <w:link w:val="CitazioneintensaCarattere"/>
    <w:uiPriority w:val="30"/>
    <w:qFormat/>
    <w:rsid w:val="00323B61"/>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CitazioneintensaCarattere">
    <w:name w:val="Citazione intensa Carattere"/>
    <w:basedOn w:val="Carpredefinitoparagrafo"/>
    <w:link w:val="Citazioneintensa"/>
    <w:uiPriority w:val="30"/>
    <w:rsid w:val="00323B61"/>
    <w:rPr>
      <w:b/>
      <w:bCs/>
      <w:i/>
      <w:iCs/>
      <w:color w:val="4F81BD" w:themeColor="accent1"/>
    </w:rPr>
  </w:style>
  <w:style w:type="paragraph" w:styleId="Citazione">
    <w:name w:val="Quote"/>
    <w:basedOn w:val="Normale"/>
    <w:next w:val="Normale"/>
    <w:link w:val="CitazioneCarattere"/>
    <w:uiPriority w:val="29"/>
    <w:qFormat/>
    <w:rsid w:val="00323B61"/>
    <w:rPr>
      <w:rFonts w:asciiTheme="minorHAnsi" w:eastAsiaTheme="minorHAnsi" w:hAnsiTheme="minorHAnsi" w:cstheme="minorBidi"/>
      <w:i/>
      <w:iCs/>
      <w:color w:val="000000" w:themeColor="text1"/>
    </w:rPr>
  </w:style>
  <w:style w:type="character" w:customStyle="1" w:styleId="CitazioneCarattere">
    <w:name w:val="Citazione Carattere"/>
    <w:basedOn w:val="Carpredefinitoparagrafo"/>
    <w:link w:val="Citazione"/>
    <w:uiPriority w:val="29"/>
    <w:rsid w:val="00323B61"/>
    <w:rPr>
      <w:i/>
      <w:iCs/>
      <w:color w:val="000000" w:themeColor="text1"/>
    </w:rPr>
  </w:style>
  <w:style w:type="paragraph" w:customStyle="1" w:styleId="sezione">
    <w:name w:val="sezione"/>
    <w:basedOn w:val="Normale"/>
    <w:rsid w:val="00EE1EAD"/>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D615DE"/>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D615DE"/>
    <w:rPr>
      <w:sz w:val="20"/>
      <w:szCs w:val="20"/>
    </w:rPr>
  </w:style>
  <w:style w:type="character" w:styleId="Rimandonotaapidipagina">
    <w:name w:val="footnote reference"/>
    <w:basedOn w:val="Carpredefinitoparagrafo"/>
    <w:uiPriority w:val="99"/>
    <w:semiHidden/>
    <w:unhideWhenUsed/>
    <w:rsid w:val="00D615DE"/>
    <w:rPr>
      <w:vertAlign w:val="superscript"/>
    </w:rPr>
  </w:style>
  <w:style w:type="paragraph" w:customStyle="1" w:styleId="parar1">
    <w:name w:val="parar1"/>
    <w:basedOn w:val="Normale"/>
    <w:rsid w:val="00B77E8E"/>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842"/>
    <w:rPr>
      <w:rFonts w:ascii="Calibri" w:eastAsia="Calibri" w:hAnsi="Calibri" w:cs="Times New Roman"/>
    </w:rPr>
  </w:style>
  <w:style w:type="paragraph" w:styleId="Titolo1">
    <w:name w:val="heading 1"/>
    <w:basedOn w:val="Normale"/>
    <w:next w:val="Normale"/>
    <w:link w:val="Titolo1Carattere"/>
    <w:uiPriority w:val="9"/>
    <w:qFormat/>
    <w:rsid w:val="00E86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3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86F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34E55"/>
  </w:style>
  <w:style w:type="character" w:styleId="Collegamentoipertestuale">
    <w:name w:val="Hyperlink"/>
    <w:basedOn w:val="Carpredefinitoparagrafo"/>
    <w:uiPriority w:val="99"/>
    <w:semiHidden/>
    <w:unhideWhenUsed/>
    <w:rsid w:val="00F34E55"/>
    <w:rPr>
      <w:color w:val="0000FF"/>
      <w:u w:val="single"/>
    </w:rPr>
  </w:style>
  <w:style w:type="character" w:customStyle="1" w:styleId="resultlisthighlightterm">
    <w:name w:val="resultlisthighlightterm"/>
    <w:basedOn w:val="Carpredefinitoparagrafo"/>
    <w:rsid w:val="004D4421"/>
  </w:style>
  <w:style w:type="paragraph" w:customStyle="1" w:styleId="popolo">
    <w:name w:val="popolo"/>
    <w:basedOn w:val="Normale"/>
    <w:rsid w:val="001E589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orsivo">
    <w:name w:val="corsivo"/>
    <w:basedOn w:val="Carpredefinitoparagrafo"/>
    <w:rsid w:val="00E92DAB"/>
  </w:style>
  <w:style w:type="paragraph" w:styleId="Nessunaspaziatura">
    <w:name w:val="No Spacing"/>
    <w:uiPriority w:val="1"/>
    <w:qFormat/>
    <w:rsid w:val="00E92DAB"/>
    <w:pPr>
      <w:spacing w:after="0" w:line="240" w:lineRule="auto"/>
    </w:pPr>
  </w:style>
  <w:style w:type="character" w:styleId="Enfasidelicata">
    <w:name w:val="Subtle Emphasis"/>
    <w:basedOn w:val="Carpredefinitoparagrafo"/>
    <w:uiPriority w:val="19"/>
    <w:qFormat/>
    <w:rsid w:val="00FC48A0"/>
    <w:rPr>
      <w:i/>
      <w:iCs/>
      <w:color w:val="808080" w:themeColor="text1" w:themeTint="7F"/>
    </w:rPr>
  </w:style>
  <w:style w:type="paragraph" w:styleId="Intestazione">
    <w:name w:val="header"/>
    <w:basedOn w:val="Normale"/>
    <w:link w:val="IntestazioneCarattere"/>
    <w:uiPriority w:val="99"/>
    <w:unhideWhenUsed/>
    <w:rsid w:val="009B3BD9"/>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9B3BD9"/>
  </w:style>
  <w:style w:type="paragraph" w:styleId="Pidipagina">
    <w:name w:val="footer"/>
    <w:basedOn w:val="Normale"/>
    <w:link w:val="PidipaginaCarattere"/>
    <w:uiPriority w:val="99"/>
    <w:unhideWhenUsed/>
    <w:rsid w:val="009B3BD9"/>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B3BD9"/>
  </w:style>
  <w:style w:type="paragraph" w:styleId="Testofumetto">
    <w:name w:val="Balloon Text"/>
    <w:basedOn w:val="Normale"/>
    <w:link w:val="TestofumettoCarattere"/>
    <w:uiPriority w:val="99"/>
    <w:semiHidden/>
    <w:unhideWhenUsed/>
    <w:rsid w:val="009B3B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BD9"/>
    <w:rPr>
      <w:rFonts w:ascii="Tahoma" w:hAnsi="Tahoma" w:cs="Tahoma"/>
      <w:sz w:val="16"/>
      <w:szCs w:val="16"/>
    </w:rPr>
  </w:style>
  <w:style w:type="paragraph" w:styleId="Paragrafoelenco">
    <w:name w:val="List Paragraph"/>
    <w:basedOn w:val="Normale"/>
    <w:uiPriority w:val="34"/>
    <w:qFormat/>
    <w:rsid w:val="009B3BD9"/>
    <w:pPr>
      <w:ind w:left="720"/>
      <w:contextualSpacing/>
    </w:pPr>
    <w:rPr>
      <w:rFonts w:asciiTheme="minorHAnsi" w:eastAsiaTheme="minorHAnsi" w:hAnsiTheme="minorHAnsi" w:cstheme="minorBidi"/>
    </w:rPr>
  </w:style>
  <w:style w:type="character" w:customStyle="1" w:styleId="Titolo3Carattere">
    <w:name w:val="Titolo 3 Carattere"/>
    <w:basedOn w:val="Carpredefinitoparagrafo"/>
    <w:link w:val="Titolo3"/>
    <w:uiPriority w:val="9"/>
    <w:semiHidden/>
    <w:rsid w:val="00E86FCD"/>
    <w:rPr>
      <w:rFonts w:asciiTheme="majorHAnsi" w:eastAsiaTheme="majorEastAsia" w:hAnsiTheme="majorHAnsi" w:cstheme="majorBidi"/>
      <w:b/>
      <w:bCs/>
      <w:color w:val="4F81BD" w:themeColor="accent1"/>
    </w:rPr>
  </w:style>
  <w:style w:type="character" w:customStyle="1" w:styleId="Titolo1Carattere">
    <w:name w:val="Titolo 1 Carattere"/>
    <w:basedOn w:val="Carpredefinitoparagrafo"/>
    <w:link w:val="Titolo1"/>
    <w:uiPriority w:val="9"/>
    <w:rsid w:val="00E86FCD"/>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unhideWhenUsed/>
    <w:rsid w:val="00656FE3"/>
    <w:rPr>
      <w:rFonts w:ascii="Times New Roman" w:eastAsiaTheme="minorHAnsi" w:hAnsi="Times New Roman"/>
      <w:sz w:val="24"/>
      <w:szCs w:val="24"/>
    </w:rPr>
  </w:style>
  <w:style w:type="character" w:styleId="Enfasicorsivo">
    <w:name w:val="Emphasis"/>
    <w:basedOn w:val="Carpredefinitoparagrafo"/>
    <w:uiPriority w:val="20"/>
    <w:qFormat/>
    <w:rsid w:val="003227D6"/>
    <w:rPr>
      <w:i/>
      <w:iCs/>
    </w:rPr>
  </w:style>
  <w:style w:type="character" w:styleId="Enfasigrassetto">
    <w:name w:val="Strong"/>
    <w:basedOn w:val="Carpredefinitoparagrafo"/>
    <w:uiPriority w:val="22"/>
    <w:qFormat/>
    <w:rsid w:val="005D458B"/>
    <w:rPr>
      <w:b/>
      <w:bCs/>
    </w:rPr>
  </w:style>
  <w:style w:type="character" w:customStyle="1" w:styleId="Titolo2Carattere">
    <w:name w:val="Titolo 2 Carattere"/>
    <w:basedOn w:val="Carpredefinitoparagrafo"/>
    <w:link w:val="Titolo2"/>
    <w:uiPriority w:val="9"/>
    <w:rsid w:val="00736141"/>
    <w:rPr>
      <w:rFonts w:asciiTheme="majorHAnsi" w:eastAsiaTheme="majorEastAsia" w:hAnsiTheme="majorHAnsi" w:cstheme="majorBidi"/>
      <w:b/>
      <w:bCs/>
      <w:color w:val="4F81BD" w:themeColor="accent1"/>
      <w:sz w:val="26"/>
      <w:szCs w:val="26"/>
    </w:rPr>
  </w:style>
  <w:style w:type="paragraph" w:styleId="Citazioneintensa">
    <w:name w:val="Intense Quote"/>
    <w:basedOn w:val="Normale"/>
    <w:next w:val="Normale"/>
    <w:link w:val="CitazioneintensaCarattere"/>
    <w:uiPriority w:val="30"/>
    <w:qFormat/>
    <w:rsid w:val="00323B61"/>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CitazioneintensaCarattere">
    <w:name w:val="Citazione intensa Carattere"/>
    <w:basedOn w:val="Carpredefinitoparagrafo"/>
    <w:link w:val="Citazioneintensa"/>
    <w:uiPriority w:val="30"/>
    <w:rsid w:val="00323B61"/>
    <w:rPr>
      <w:b/>
      <w:bCs/>
      <w:i/>
      <w:iCs/>
      <w:color w:val="4F81BD" w:themeColor="accent1"/>
    </w:rPr>
  </w:style>
  <w:style w:type="paragraph" w:styleId="Citazione">
    <w:name w:val="Quote"/>
    <w:basedOn w:val="Normale"/>
    <w:next w:val="Normale"/>
    <w:link w:val="CitazioneCarattere"/>
    <w:uiPriority w:val="29"/>
    <w:qFormat/>
    <w:rsid w:val="00323B61"/>
    <w:rPr>
      <w:rFonts w:asciiTheme="minorHAnsi" w:eastAsiaTheme="minorHAnsi" w:hAnsiTheme="minorHAnsi" w:cstheme="minorBidi"/>
      <w:i/>
      <w:iCs/>
      <w:color w:val="000000" w:themeColor="text1"/>
    </w:rPr>
  </w:style>
  <w:style w:type="character" w:customStyle="1" w:styleId="CitazioneCarattere">
    <w:name w:val="Citazione Carattere"/>
    <w:basedOn w:val="Carpredefinitoparagrafo"/>
    <w:link w:val="Citazione"/>
    <w:uiPriority w:val="29"/>
    <w:rsid w:val="00323B61"/>
    <w:rPr>
      <w:i/>
      <w:iCs/>
      <w:color w:val="000000" w:themeColor="text1"/>
    </w:rPr>
  </w:style>
  <w:style w:type="paragraph" w:customStyle="1" w:styleId="sezione">
    <w:name w:val="sezione"/>
    <w:basedOn w:val="Normale"/>
    <w:rsid w:val="00EE1EAD"/>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D615DE"/>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D615DE"/>
    <w:rPr>
      <w:sz w:val="20"/>
      <w:szCs w:val="20"/>
    </w:rPr>
  </w:style>
  <w:style w:type="character" w:styleId="Rimandonotaapidipagina">
    <w:name w:val="footnote reference"/>
    <w:basedOn w:val="Carpredefinitoparagrafo"/>
    <w:uiPriority w:val="99"/>
    <w:semiHidden/>
    <w:unhideWhenUsed/>
    <w:rsid w:val="00D615DE"/>
    <w:rPr>
      <w:vertAlign w:val="superscript"/>
    </w:rPr>
  </w:style>
  <w:style w:type="paragraph" w:customStyle="1" w:styleId="parar1">
    <w:name w:val="parar1"/>
    <w:basedOn w:val="Normale"/>
    <w:rsid w:val="00B77E8E"/>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5055">
      <w:bodyDiv w:val="1"/>
      <w:marLeft w:val="0"/>
      <w:marRight w:val="0"/>
      <w:marTop w:val="0"/>
      <w:marBottom w:val="0"/>
      <w:divBdr>
        <w:top w:val="none" w:sz="0" w:space="0" w:color="auto"/>
        <w:left w:val="none" w:sz="0" w:space="0" w:color="auto"/>
        <w:bottom w:val="none" w:sz="0" w:space="0" w:color="auto"/>
        <w:right w:val="none" w:sz="0" w:space="0" w:color="auto"/>
      </w:divBdr>
    </w:div>
    <w:div w:id="123356939">
      <w:bodyDiv w:val="1"/>
      <w:marLeft w:val="0"/>
      <w:marRight w:val="0"/>
      <w:marTop w:val="0"/>
      <w:marBottom w:val="0"/>
      <w:divBdr>
        <w:top w:val="none" w:sz="0" w:space="0" w:color="auto"/>
        <w:left w:val="none" w:sz="0" w:space="0" w:color="auto"/>
        <w:bottom w:val="none" w:sz="0" w:space="0" w:color="auto"/>
        <w:right w:val="none" w:sz="0" w:space="0" w:color="auto"/>
      </w:divBdr>
    </w:div>
    <w:div w:id="168646072">
      <w:bodyDiv w:val="1"/>
      <w:marLeft w:val="0"/>
      <w:marRight w:val="0"/>
      <w:marTop w:val="0"/>
      <w:marBottom w:val="0"/>
      <w:divBdr>
        <w:top w:val="none" w:sz="0" w:space="0" w:color="auto"/>
        <w:left w:val="none" w:sz="0" w:space="0" w:color="auto"/>
        <w:bottom w:val="none" w:sz="0" w:space="0" w:color="auto"/>
        <w:right w:val="none" w:sz="0" w:space="0" w:color="auto"/>
      </w:divBdr>
    </w:div>
    <w:div w:id="228082385">
      <w:bodyDiv w:val="1"/>
      <w:marLeft w:val="0"/>
      <w:marRight w:val="0"/>
      <w:marTop w:val="0"/>
      <w:marBottom w:val="0"/>
      <w:divBdr>
        <w:top w:val="none" w:sz="0" w:space="0" w:color="auto"/>
        <w:left w:val="none" w:sz="0" w:space="0" w:color="auto"/>
        <w:bottom w:val="none" w:sz="0" w:space="0" w:color="auto"/>
        <w:right w:val="none" w:sz="0" w:space="0" w:color="auto"/>
      </w:divBdr>
    </w:div>
    <w:div w:id="341394826">
      <w:bodyDiv w:val="1"/>
      <w:marLeft w:val="0"/>
      <w:marRight w:val="0"/>
      <w:marTop w:val="0"/>
      <w:marBottom w:val="0"/>
      <w:divBdr>
        <w:top w:val="none" w:sz="0" w:space="0" w:color="auto"/>
        <w:left w:val="none" w:sz="0" w:space="0" w:color="auto"/>
        <w:bottom w:val="none" w:sz="0" w:space="0" w:color="auto"/>
        <w:right w:val="none" w:sz="0" w:space="0" w:color="auto"/>
      </w:divBdr>
    </w:div>
    <w:div w:id="378482773">
      <w:bodyDiv w:val="1"/>
      <w:marLeft w:val="0"/>
      <w:marRight w:val="0"/>
      <w:marTop w:val="0"/>
      <w:marBottom w:val="0"/>
      <w:divBdr>
        <w:top w:val="none" w:sz="0" w:space="0" w:color="auto"/>
        <w:left w:val="none" w:sz="0" w:space="0" w:color="auto"/>
        <w:bottom w:val="none" w:sz="0" w:space="0" w:color="auto"/>
        <w:right w:val="none" w:sz="0" w:space="0" w:color="auto"/>
      </w:divBdr>
    </w:div>
    <w:div w:id="539362536">
      <w:bodyDiv w:val="1"/>
      <w:marLeft w:val="0"/>
      <w:marRight w:val="0"/>
      <w:marTop w:val="0"/>
      <w:marBottom w:val="0"/>
      <w:divBdr>
        <w:top w:val="none" w:sz="0" w:space="0" w:color="auto"/>
        <w:left w:val="none" w:sz="0" w:space="0" w:color="auto"/>
        <w:bottom w:val="none" w:sz="0" w:space="0" w:color="auto"/>
        <w:right w:val="none" w:sz="0" w:space="0" w:color="auto"/>
      </w:divBdr>
    </w:div>
    <w:div w:id="566183278">
      <w:bodyDiv w:val="1"/>
      <w:marLeft w:val="0"/>
      <w:marRight w:val="0"/>
      <w:marTop w:val="0"/>
      <w:marBottom w:val="0"/>
      <w:divBdr>
        <w:top w:val="none" w:sz="0" w:space="0" w:color="auto"/>
        <w:left w:val="none" w:sz="0" w:space="0" w:color="auto"/>
        <w:bottom w:val="none" w:sz="0" w:space="0" w:color="auto"/>
        <w:right w:val="none" w:sz="0" w:space="0" w:color="auto"/>
      </w:divBdr>
    </w:div>
    <w:div w:id="634411435">
      <w:bodyDiv w:val="1"/>
      <w:marLeft w:val="0"/>
      <w:marRight w:val="0"/>
      <w:marTop w:val="0"/>
      <w:marBottom w:val="0"/>
      <w:divBdr>
        <w:top w:val="none" w:sz="0" w:space="0" w:color="auto"/>
        <w:left w:val="none" w:sz="0" w:space="0" w:color="auto"/>
        <w:bottom w:val="none" w:sz="0" w:space="0" w:color="auto"/>
        <w:right w:val="none" w:sz="0" w:space="0" w:color="auto"/>
      </w:divBdr>
    </w:div>
    <w:div w:id="842670916">
      <w:bodyDiv w:val="1"/>
      <w:marLeft w:val="0"/>
      <w:marRight w:val="0"/>
      <w:marTop w:val="0"/>
      <w:marBottom w:val="0"/>
      <w:divBdr>
        <w:top w:val="none" w:sz="0" w:space="0" w:color="auto"/>
        <w:left w:val="none" w:sz="0" w:space="0" w:color="auto"/>
        <w:bottom w:val="none" w:sz="0" w:space="0" w:color="auto"/>
        <w:right w:val="none" w:sz="0" w:space="0" w:color="auto"/>
      </w:divBdr>
    </w:div>
    <w:div w:id="860700426">
      <w:bodyDiv w:val="1"/>
      <w:marLeft w:val="0"/>
      <w:marRight w:val="0"/>
      <w:marTop w:val="0"/>
      <w:marBottom w:val="0"/>
      <w:divBdr>
        <w:top w:val="none" w:sz="0" w:space="0" w:color="auto"/>
        <w:left w:val="none" w:sz="0" w:space="0" w:color="auto"/>
        <w:bottom w:val="none" w:sz="0" w:space="0" w:color="auto"/>
        <w:right w:val="none" w:sz="0" w:space="0" w:color="auto"/>
      </w:divBdr>
    </w:div>
    <w:div w:id="1216506438">
      <w:bodyDiv w:val="1"/>
      <w:marLeft w:val="0"/>
      <w:marRight w:val="0"/>
      <w:marTop w:val="0"/>
      <w:marBottom w:val="0"/>
      <w:divBdr>
        <w:top w:val="none" w:sz="0" w:space="0" w:color="auto"/>
        <w:left w:val="none" w:sz="0" w:space="0" w:color="auto"/>
        <w:bottom w:val="none" w:sz="0" w:space="0" w:color="auto"/>
        <w:right w:val="none" w:sz="0" w:space="0" w:color="auto"/>
      </w:divBdr>
    </w:div>
    <w:div w:id="1242522148">
      <w:bodyDiv w:val="1"/>
      <w:marLeft w:val="0"/>
      <w:marRight w:val="0"/>
      <w:marTop w:val="0"/>
      <w:marBottom w:val="0"/>
      <w:divBdr>
        <w:top w:val="none" w:sz="0" w:space="0" w:color="auto"/>
        <w:left w:val="none" w:sz="0" w:space="0" w:color="auto"/>
        <w:bottom w:val="none" w:sz="0" w:space="0" w:color="auto"/>
        <w:right w:val="none" w:sz="0" w:space="0" w:color="auto"/>
      </w:divBdr>
    </w:div>
    <w:div w:id="1243101020">
      <w:bodyDiv w:val="1"/>
      <w:marLeft w:val="0"/>
      <w:marRight w:val="0"/>
      <w:marTop w:val="0"/>
      <w:marBottom w:val="0"/>
      <w:divBdr>
        <w:top w:val="none" w:sz="0" w:space="0" w:color="auto"/>
        <w:left w:val="none" w:sz="0" w:space="0" w:color="auto"/>
        <w:bottom w:val="none" w:sz="0" w:space="0" w:color="auto"/>
        <w:right w:val="none" w:sz="0" w:space="0" w:color="auto"/>
      </w:divBdr>
    </w:div>
    <w:div w:id="1262714200">
      <w:bodyDiv w:val="1"/>
      <w:marLeft w:val="0"/>
      <w:marRight w:val="0"/>
      <w:marTop w:val="0"/>
      <w:marBottom w:val="0"/>
      <w:divBdr>
        <w:top w:val="none" w:sz="0" w:space="0" w:color="auto"/>
        <w:left w:val="none" w:sz="0" w:space="0" w:color="auto"/>
        <w:bottom w:val="none" w:sz="0" w:space="0" w:color="auto"/>
        <w:right w:val="none" w:sz="0" w:space="0" w:color="auto"/>
      </w:divBdr>
    </w:div>
    <w:div w:id="1370447812">
      <w:bodyDiv w:val="1"/>
      <w:marLeft w:val="0"/>
      <w:marRight w:val="0"/>
      <w:marTop w:val="0"/>
      <w:marBottom w:val="0"/>
      <w:divBdr>
        <w:top w:val="none" w:sz="0" w:space="0" w:color="auto"/>
        <w:left w:val="none" w:sz="0" w:space="0" w:color="auto"/>
        <w:bottom w:val="none" w:sz="0" w:space="0" w:color="auto"/>
        <w:right w:val="none" w:sz="0" w:space="0" w:color="auto"/>
      </w:divBdr>
    </w:div>
    <w:div w:id="1636451449">
      <w:bodyDiv w:val="1"/>
      <w:marLeft w:val="0"/>
      <w:marRight w:val="0"/>
      <w:marTop w:val="0"/>
      <w:marBottom w:val="0"/>
      <w:divBdr>
        <w:top w:val="none" w:sz="0" w:space="0" w:color="auto"/>
        <w:left w:val="none" w:sz="0" w:space="0" w:color="auto"/>
        <w:bottom w:val="none" w:sz="0" w:space="0" w:color="auto"/>
        <w:right w:val="none" w:sz="0" w:space="0" w:color="auto"/>
      </w:divBdr>
    </w:div>
    <w:div w:id="1678650464">
      <w:bodyDiv w:val="1"/>
      <w:marLeft w:val="0"/>
      <w:marRight w:val="0"/>
      <w:marTop w:val="0"/>
      <w:marBottom w:val="0"/>
      <w:divBdr>
        <w:top w:val="none" w:sz="0" w:space="0" w:color="auto"/>
        <w:left w:val="none" w:sz="0" w:space="0" w:color="auto"/>
        <w:bottom w:val="none" w:sz="0" w:space="0" w:color="auto"/>
        <w:right w:val="none" w:sz="0" w:space="0" w:color="auto"/>
      </w:divBdr>
    </w:div>
    <w:div w:id="1721130460">
      <w:bodyDiv w:val="1"/>
      <w:marLeft w:val="0"/>
      <w:marRight w:val="0"/>
      <w:marTop w:val="0"/>
      <w:marBottom w:val="0"/>
      <w:divBdr>
        <w:top w:val="none" w:sz="0" w:space="0" w:color="auto"/>
        <w:left w:val="none" w:sz="0" w:space="0" w:color="auto"/>
        <w:bottom w:val="none" w:sz="0" w:space="0" w:color="auto"/>
        <w:right w:val="none" w:sz="0" w:space="0" w:color="auto"/>
      </w:divBdr>
    </w:div>
    <w:div w:id="1815827197">
      <w:bodyDiv w:val="1"/>
      <w:marLeft w:val="0"/>
      <w:marRight w:val="0"/>
      <w:marTop w:val="0"/>
      <w:marBottom w:val="0"/>
      <w:divBdr>
        <w:top w:val="none" w:sz="0" w:space="0" w:color="auto"/>
        <w:left w:val="none" w:sz="0" w:space="0" w:color="auto"/>
        <w:bottom w:val="none" w:sz="0" w:space="0" w:color="auto"/>
        <w:right w:val="none" w:sz="0" w:space="0" w:color="auto"/>
      </w:divBdr>
    </w:div>
    <w:div w:id="1828520767">
      <w:bodyDiv w:val="1"/>
      <w:marLeft w:val="0"/>
      <w:marRight w:val="0"/>
      <w:marTop w:val="0"/>
      <w:marBottom w:val="0"/>
      <w:divBdr>
        <w:top w:val="none" w:sz="0" w:space="0" w:color="auto"/>
        <w:left w:val="none" w:sz="0" w:space="0" w:color="auto"/>
        <w:bottom w:val="none" w:sz="0" w:space="0" w:color="auto"/>
        <w:right w:val="none" w:sz="0" w:space="0" w:color="auto"/>
      </w:divBdr>
    </w:div>
    <w:div w:id="1875773835">
      <w:bodyDiv w:val="1"/>
      <w:marLeft w:val="0"/>
      <w:marRight w:val="0"/>
      <w:marTop w:val="0"/>
      <w:marBottom w:val="0"/>
      <w:divBdr>
        <w:top w:val="none" w:sz="0" w:space="0" w:color="auto"/>
        <w:left w:val="none" w:sz="0" w:space="0" w:color="auto"/>
        <w:bottom w:val="none" w:sz="0" w:space="0" w:color="auto"/>
        <w:right w:val="none" w:sz="0" w:space="0" w:color="auto"/>
      </w:divBdr>
    </w:div>
    <w:div w:id="1878003195">
      <w:bodyDiv w:val="1"/>
      <w:marLeft w:val="0"/>
      <w:marRight w:val="0"/>
      <w:marTop w:val="0"/>
      <w:marBottom w:val="0"/>
      <w:divBdr>
        <w:top w:val="none" w:sz="0" w:space="0" w:color="auto"/>
        <w:left w:val="none" w:sz="0" w:space="0" w:color="auto"/>
        <w:bottom w:val="none" w:sz="0" w:space="0" w:color="auto"/>
        <w:right w:val="none" w:sz="0" w:space="0" w:color="auto"/>
      </w:divBdr>
      <w:divsChild>
        <w:div w:id="1957447102">
          <w:marLeft w:val="0"/>
          <w:marRight w:val="0"/>
          <w:marTop w:val="0"/>
          <w:marBottom w:val="0"/>
          <w:divBdr>
            <w:top w:val="none" w:sz="0" w:space="0" w:color="auto"/>
            <w:left w:val="none" w:sz="0" w:space="0" w:color="auto"/>
            <w:bottom w:val="none" w:sz="0" w:space="0" w:color="auto"/>
            <w:right w:val="none" w:sz="0" w:space="0" w:color="auto"/>
          </w:divBdr>
        </w:div>
        <w:div w:id="509100920">
          <w:marLeft w:val="0"/>
          <w:marRight w:val="0"/>
          <w:marTop w:val="0"/>
          <w:marBottom w:val="0"/>
          <w:divBdr>
            <w:top w:val="none" w:sz="0" w:space="0" w:color="auto"/>
            <w:left w:val="none" w:sz="0" w:space="0" w:color="auto"/>
            <w:bottom w:val="none" w:sz="0" w:space="0" w:color="auto"/>
            <w:right w:val="none" w:sz="0" w:space="0" w:color="auto"/>
          </w:divBdr>
        </w:div>
        <w:div w:id="1789742298">
          <w:marLeft w:val="0"/>
          <w:marRight w:val="0"/>
          <w:marTop w:val="0"/>
          <w:marBottom w:val="0"/>
          <w:divBdr>
            <w:top w:val="none" w:sz="0" w:space="0" w:color="auto"/>
            <w:left w:val="none" w:sz="0" w:space="0" w:color="auto"/>
            <w:bottom w:val="none" w:sz="0" w:space="0" w:color="auto"/>
            <w:right w:val="none" w:sz="0" w:space="0" w:color="auto"/>
          </w:divBdr>
        </w:div>
      </w:divsChild>
    </w:div>
    <w:div w:id="1914049868">
      <w:bodyDiv w:val="1"/>
      <w:marLeft w:val="0"/>
      <w:marRight w:val="0"/>
      <w:marTop w:val="0"/>
      <w:marBottom w:val="0"/>
      <w:divBdr>
        <w:top w:val="none" w:sz="0" w:space="0" w:color="auto"/>
        <w:left w:val="none" w:sz="0" w:space="0" w:color="auto"/>
        <w:bottom w:val="none" w:sz="0" w:space="0" w:color="auto"/>
        <w:right w:val="none" w:sz="0" w:space="0" w:color="auto"/>
      </w:divBdr>
    </w:div>
    <w:div w:id="1977832369">
      <w:bodyDiv w:val="1"/>
      <w:marLeft w:val="0"/>
      <w:marRight w:val="0"/>
      <w:marTop w:val="0"/>
      <w:marBottom w:val="0"/>
      <w:divBdr>
        <w:top w:val="none" w:sz="0" w:space="0" w:color="auto"/>
        <w:left w:val="none" w:sz="0" w:space="0" w:color="auto"/>
        <w:bottom w:val="none" w:sz="0" w:space="0" w:color="auto"/>
        <w:right w:val="none" w:sz="0" w:space="0" w:color="auto"/>
      </w:divBdr>
    </w:div>
    <w:div w:id="1978105176">
      <w:bodyDiv w:val="1"/>
      <w:marLeft w:val="0"/>
      <w:marRight w:val="0"/>
      <w:marTop w:val="0"/>
      <w:marBottom w:val="0"/>
      <w:divBdr>
        <w:top w:val="none" w:sz="0" w:space="0" w:color="auto"/>
        <w:left w:val="none" w:sz="0" w:space="0" w:color="auto"/>
        <w:bottom w:val="none" w:sz="0" w:space="0" w:color="auto"/>
        <w:right w:val="none" w:sz="0" w:space="0" w:color="auto"/>
      </w:divBdr>
    </w:div>
    <w:div w:id="2036617648">
      <w:bodyDiv w:val="1"/>
      <w:marLeft w:val="0"/>
      <w:marRight w:val="0"/>
      <w:marTop w:val="0"/>
      <w:marBottom w:val="0"/>
      <w:divBdr>
        <w:top w:val="none" w:sz="0" w:space="0" w:color="auto"/>
        <w:left w:val="none" w:sz="0" w:space="0" w:color="auto"/>
        <w:bottom w:val="none" w:sz="0" w:space="0" w:color="auto"/>
        <w:right w:val="none" w:sz="0" w:space="0" w:color="auto"/>
      </w:divBdr>
    </w:div>
    <w:div w:id="21356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ministrativistaonline.it/novita/avcp-parere-19-luglio-2012-n-123-disciplina-applicabile-alle-procedure-in-economia-di-importo-inferiore-a-2000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ministrativistaonline.it/prassi/avcp-parere-5-dicembre-2012-ag-21212/" TargetMode="External"/><Relationship Id="rId5" Type="http://schemas.openxmlformats.org/officeDocument/2006/relationships/settings" Target="settings.xml"/><Relationship Id="rId10" Type="http://schemas.openxmlformats.org/officeDocument/2006/relationships/hyperlink" Target="http://dottrinaediritto.ipsoa.it/entry.jsp?visualizza_doc=1098585" TargetMode="External"/><Relationship Id="rId4" Type="http://schemas.microsoft.com/office/2007/relationships/stylesWithEffects" Target="stylesWithEffects.xml"/><Relationship Id="rId9" Type="http://schemas.openxmlformats.org/officeDocument/2006/relationships/hyperlink" Target="http://www.iusexplorer.it/giurisprudenza/ShowCurrentDocument?IdDocMaster=1600684&amp;IdUnitaDoc=0&amp;NVigUnitaDoc=1&amp;IdDatabanks=0&amp;Pagina=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6153-3096-4D92-A5F0-3458D87A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7117</Words>
  <Characters>40573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dc:creator>
  <cp:lastModifiedBy>Francesco</cp:lastModifiedBy>
  <cp:revision>3</cp:revision>
  <cp:lastPrinted>2013-05-19T15:32:00Z</cp:lastPrinted>
  <dcterms:created xsi:type="dcterms:W3CDTF">2013-06-23T19:05:00Z</dcterms:created>
  <dcterms:modified xsi:type="dcterms:W3CDTF">2014-05-14T21:34:00Z</dcterms:modified>
</cp:coreProperties>
</file>